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13" w:rsidRPr="00F65113" w:rsidRDefault="00067E3D" w:rsidP="00067E3D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F65113">
        <w:rPr>
          <w:rFonts w:asciiTheme="majorBidi" w:hAnsiTheme="majorBidi" w:cstheme="majorBidi"/>
          <w:sz w:val="24"/>
          <w:szCs w:val="24"/>
          <w:lang w:val="en-US"/>
        </w:rPr>
        <w:t>Alih aksara dan alih bahasa</w:t>
      </w:r>
      <w:r w:rsidR="00F65113" w:rsidRPr="00F651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016BE" w:rsidRPr="00F65113" w:rsidRDefault="00F65113" w:rsidP="00067E3D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65113">
        <w:rPr>
          <w:rFonts w:asciiTheme="majorBidi" w:hAnsiTheme="majorBidi" w:cstheme="majorBidi"/>
          <w:sz w:val="24"/>
          <w:szCs w:val="24"/>
          <w:lang w:val="en-US"/>
        </w:rPr>
        <w:t xml:space="preserve">Naskah </w:t>
      </w:r>
      <w:r w:rsidRPr="00F65113">
        <w:rPr>
          <w:rFonts w:asciiTheme="majorBidi" w:hAnsiTheme="majorBidi" w:cstheme="majorBidi"/>
          <w:i/>
          <w:iCs/>
          <w:sz w:val="24"/>
          <w:szCs w:val="24"/>
        </w:rPr>
        <w:t>Risālah al-Shaykh Asnawī al-Quds al-Jāwī</w:t>
      </w:r>
      <w:r w:rsidRPr="00F6511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F65113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F65113">
        <w:rPr>
          <w:rFonts w:asciiTheme="majorBidi" w:hAnsiTheme="majorBidi" w:cstheme="majorBidi"/>
          <w:sz w:val="24"/>
          <w:szCs w:val="24"/>
        </w:rPr>
        <w:t>DS 0042 00001</w:t>
      </w:r>
      <w:r w:rsidRPr="00F65113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56823" w:rsidRPr="00F65113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A96D63" w:rsidRDefault="00A96D63" w:rsidP="00A96D63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90"/>
        <w:gridCol w:w="456"/>
        <w:gridCol w:w="2909"/>
        <w:gridCol w:w="4950"/>
      </w:tblGrid>
      <w:tr w:rsidR="00CC4458" w:rsidRPr="00D51FC2" w:rsidTr="00F463D6">
        <w:trPr>
          <w:trHeight w:val="298"/>
        </w:trPr>
        <w:tc>
          <w:tcPr>
            <w:tcW w:w="590" w:type="dxa"/>
            <w:vMerge w:val="restart"/>
          </w:tcPr>
          <w:p w:rsidR="00CC4458" w:rsidRPr="00A361A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A361A2">
              <w:rPr>
                <w:rFonts w:asciiTheme="majorBidi" w:hAnsiTheme="majorBidi" w:cstheme="majorBidi"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1r</w:t>
            </w:r>
            <w:r w:rsidRPr="00A361A2">
              <w:rPr>
                <w:rFonts w:asciiTheme="majorBidi" w:hAnsiTheme="majorBidi" w:cstheme="majorBidi"/>
                <w:sz w:val="21"/>
                <w:szCs w:val="21"/>
              </w:rPr>
              <w:t>/</w:t>
            </w:r>
          </w:p>
          <w:p w:rsidR="00CC4458" w:rsidRPr="00A361A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C4458" w:rsidRPr="00A361A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C4458" w:rsidRPr="00A361A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A361A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A361A2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>١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 xml:space="preserve">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E25E4" w:rsidRDefault="00EE25E4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1/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CC4458" w:rsidRPr="00EE25E4" w:rsidRDefault="00CC4458" w:rsidP="00625B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بسم الله الرّحمن الرّحيم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A3402" w:rsidRDefault="00EA3402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Dengan nama Allah Maha Pemurah Maha Penyayang/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CC4458" w:rsidRPr="00EE25E4" w:rsidRDefault="00CC4458" w:rsidP="00625B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حمدا لمن لا حق إلا ما بعد حقا. وقال  وقل جاء الحق وزحق الباطل إن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6A555E" w:rsidRDefault="006A555E" w:rsidP="00F005A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Segala </w:t>
            </w:r>
            <w:r w:rsidR="00F005A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puji bagi Dzat yang tidak ada</w:t>
            </w:r>
            <w:r w:rsidR="005611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F005A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kebenaran, kecuali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setelah </w:t>
            </w:r>
            <w:r w:rsidR="00F005A8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datang </w:t>
            </w:r>
            <w:r w:rsidR="005611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Yang 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Hak.</w:t>
            </w:r>
            <w:r w:rsidR="005611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Allah berfirman: “Katakan</w:t>
            </w:r>
            <w:r w:rsidR="00F005A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lah, telah datang kebenaran dan telah lenyap</w:t>
            </w:r>
            <w:r w:rsidR="005611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kebatilan. Sesungguhnya/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2909" w:type="dxa"/>
          </w:tcPr>
          <w:p w:rsidR="00CC4458" w:rsidRPr="00EE25E4" w:rsidRDefault="00CC4458" w:rsidP="00C06EB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الباطل كان زهوقا. ولا هدى إلا ما جعله هدى. ولا خيب لمن ارتضاه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005A8" w:rsidRDefault="00D0431A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kebatilah itu pasti akan lenyap” (Q.S. </w:t>
            </w:r>
            <w:r w:rsidR="00F407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al-Isra’/17: 81).</w:t>
            </w:r>
            <w:r w:rsidR="00F005A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Tidak ada petunjuk, kecuali sesuatu yang Allah jadikan sebagai petunjuk. Tidak ada </w:t>
            </w:r>
            <w:r w:rsidR="00F407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kegagalan bagi orang yang diridai-Nya/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CC4458" w:rsidRPr="00EE25E4" w:rsidRDefault="00CC4458" w:rsidP="00C06EB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واستهدى. ولا سهل إلا ما يريد سهلا. ولا ضلال إلا ما قدره ضلالا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4076E" w:rsidRDefault="00F4076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dan diberi petunjuk-Nya. Tidak ada kemudahan melainkan Dia menghendakinya menjadi mudah. Tidak ada kesesatan</w:t>
            </w:r>
            <w:r w:rsidR="000771A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kecuali Dia menakdirkan-Nya dalam kesesatan./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والصلاة والسلام على النبي الشفيع دائما سرمدا . وعلى آله وصحبه الذين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4076E" w:rsidRDefault="000771A5" w:rsidP="000771A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Sa</w:t>
            </w:r>
            <w:r w:rsidR="00F407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lawat dan salam atas Nabi pemberi syafaat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abadi </w:t>
            </w:r>
            <w:r w:rsidR="00F407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selamanya</w:t>
            </w:r>
            <w:r w:rsidR="00EA1E4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 Juga pada keluarganya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dan </w:t>
            </w:r>
            <w:r w:rsidR="00EA1E4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sahabatnya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EA1E4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  <w:r w:rsidR="00F407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هم نجوم السماء فهدوا لمن اهتدى .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A1E47" w:rsidRDefault="00EA1E47" w:rsidP="000771A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mereka adalah bintang-bintang di langit</w:t>
            </w:r>
            <w:r w:rsidR="0014556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memberi petunjuk pada orang yang </w:t>
            </w:r>
            <w:r w:rsidR="000771A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diberi</w:t>
            </w:r>
            <w:r w:rsidR="0014556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petunjuk./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(وبعد) فقد أتاني الفاضل المفضال . الهمام الهميم كل حال من الأحوال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14556A" w:rsidRDefault="0014556A" w:rsidP="00613A1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wa ba’d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). Sudah datang pada saya </w:t>
            </w:r>
            <w:r w:rsidR="00613A1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al-fadil 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(yang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utama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613A1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al-mufdal 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lagi diutamakan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, </w:t>
            </w:r>
            <w:r w:rsidR="00E1777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yang mulia lagi dimulyakan setiap saat/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CC4458" w:rsidRPr="00EE25E4" w:rsidRDefault="00E1777C" w:rsidP="0014611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</w:t>
            </w:r>
            <w:r w:rsidR="00CC4458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ترم لدى الإخوان  . الشيخ محمد ابن الشيخ عثمان سلمه في الدارين آمين </w:t>
            </w:r>
            <w:r w:rsidR="00CC4458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1777C" w:rsidRDefault="00E1777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yang penuh perhatian di hadapan para ikhwan, (yaitu) </w:t>
            </w:r>
            <w:r w:rsidRPr="00C93859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 xml:space="preserve">Syekh </w:t>
            </w:r>
            <w:r w:rsidR="00630F4C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Muḥammad</w:t>
            </w:r>
            <w:r w:rsidRPr="00C93859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 xml:space="preserve"> bin Syekh ‘Uthman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, semoga Allah menyelamatkannya di dunia dan akhirat. Amin./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CC4458" w:rsidRPr="00EE25E4" w:rsidRDefault="00E1777C" w:rsidP="0014611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وهو قد عرض إل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="00CC4458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الأسئلة والأجوبة . منها ما أوتي به العلامة مفتي الشافعية </w:t>
            </w:r>
            <w:r w:rsidR="00CC4458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1777C" w:rsidRDefault="00E1777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Dia (Syekh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Muḥammad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) sudah menyampaikan pada saya </w:t>
            </w:r>
            <w:r w:rsidR="00C93859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beberapa 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pertanyaan dan jawaban.</w:t>
            </w:r>
            <w:r w:rsidR="004B0AD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Di antaranya, </w:t>
            </w:r>
            <w:r w:rsidR="00C9385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(jawaban) yang diberikan oleh al-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’Allāmah</w:t>
            </w:r>
            <w:r w:rsidR="00C93859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mufti mazhab al-Syafi’i/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CC4458" w:rsidRPr="00EE25E4" w:rsidRDefault="00CC4458" w:rsidP="003C1EF7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 مكة  المشرفة المحمية . شيخنا وملاذنا ومولانا السيد عبد الله ابن السيد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C93859" w:rsidRDefault="00C93859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 Mekah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yang m</w:t>
            </w:r>
            <w:r w:rsidR="00687AC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ulia la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gi t</w:t>
            </w:r>
            <w:r w:rsidR="001A43F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erlindungi, yaitu Syek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h</w:t>
            </w:r>
            <w:r w:rsidR="001A43F9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kita, tempat be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rlindung kita, pelindung kita (</w:t>
            </w:r>
            <w:r w:rsidR="00613A1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m</w:t>
            </w:r>
            <w:r w:rsidR="001A43F9" w:rsidRPr="00613A1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aulana</w:t>
            </w:r>
            <w:r w:rsidR="001A43F9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) </w:t>
            </w:r>
            <w:r w:rsidR="00613A15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Sayyid ‘Abdullā</w:t>
            </w:r>
            <w:r w:rsidR="001A43F9" w:rsidRPr="001A43F9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h bin Sayyid</w:t>
            </w:r>
            <w:r w:rsidR="001A43F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137414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محمد صالح الزواوي . لا يزال هو بمكارم الأخلاق لا سر وحاوى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. ومراد الشيخ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1A43F9" w:rsidRDefault="00613A15" w:rsidP="00613A1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Muḥammad Ṣāliḥ al-Zawāwī</w:t>
            </w:r>
            <w:r w:rsidR="001A43F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</w:t>
            </w:r>
            <w:r w:rsidR="00571B9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Ia senantiasa berada dalam kemuliaan akhlak yang tidak tersembunyi lagi tertutupi. Tujuan Syekh (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Muḥammad</w:t>
            </w:r>
            <w:r w:rsidR="00571B9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CC4458" w:rsidRPr="00EE25E4" w:rsidRDefault="00CC4458" w:rsidP="0014611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المذكور بذلك العرض الأمر علي بالنظر بما فيها . وقد سرحت إليها نظري وفكري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556D0F" w:rsidRDefault="00556D0F" w:rsidP="00356BB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mengajukan perkara yang disebutkan itu pada saya adalah untuk meninjau perkara itu. Saya sudah </w:t>
            </w:r>
            <w:r w:rsidR="00356BB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mencurahkan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pandangan dan pikiran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356BB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pada masalah itu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,</w:t>
            </w:r>
            <w:r w:rsidR="00356BB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حتى عرفت بما فيها . فإذا وجدته لا يشفي الغليل بل العليل . ومن حيث أن الشيخ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356BBE" w:rsidRDefault="00356BBE" w:rsidP="00613A1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hingga saya 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mengerti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apa yang ada dalam masalah itu. Ternyata saya dapatkan </w:t>
            </w:r>
            <w:r w:rsidR="000B73C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tidak dapat memuaskan rasa dahaga, melainkan mendatangkan 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</w:t>
            </w:r>
            <w:r w:rsidR="000B73C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penyakit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”</w:t>
            </w:r>
            <w:r w:rsidR="000B73C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(masalah baru). </w:t>
            </w:r>
            <w:r w:rsidR="00043C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 antaranya</w:t>
            </w:r>
            <w:r w:rsidR="0083502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043C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dilihat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dari segi bahwa Syekh (al-Zawāwī</w:t>
            </w:r>
            <w:r w:rsidR="00043C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أظهر لي </w:t>
            </w:r>
            <w:r w:rsidR="001301CB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التلويح والإشارة . حسبما ظهر عل</w:t>
            </w:r>
            <w:r w:rsidR="001301C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من تلك العبارة . في أن أكتب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043CBD" w:rsidRDefault="00835021" w:rsidP="00613A1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m</w:t>
            </w:r>
            <w:r w:rsidR="00043CBD">
              <w:rPr>
                <w:rFonts w:asciiTheme="majorBidi" w:hAnsiTheme="majorBidi" w:cstheme="majorBidi"/>
                <w:sz w:val="21"/>
                <w:szCs w:val="21"/>
                <w:lang w:val="en-US"/>
              </w:rPr>
              <w:t>em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perlihatkan pada saya petanda dan isyarat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itu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, berdasarkan 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gambaran 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yang tampak pada saya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1301C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Saya hendak menulis/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كان في صدري . ولكن لقصور علمي وقلة بضاعتي . انا مثل من يقدم رجلا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1301CB" w:rsidRDefault="00613A15" w:rsidP="00613A1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apa yang ada dalam hati</w:t>
            </w:r>
            <w:r w:rsidR="001301C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, tetapi karena keterbatasan ilmu dan sedikitnya </w:t>
            </w:r>
            <w:r w:rsidR="000F0B5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perkakas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(ilmu), s</w:t>
            </w:r>
            <w:r w:rsidR="0002480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aya ibarat orang yang mendahulukan 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satu kaki</w:t>
            </w:r>
            <w:r w:rsidR="0002480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ويؤخر أخرى . وبكثرة من هزني على ذلك كتبته كما ستري . فإن وافق الشيخ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024808" w:rsidRDefault="00024808" w:rsidP="00F43D5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dan mengakhirkan 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(kaki)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yang lain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(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ragu-ragu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(T</w:t>
            </w:r>
            <w:r w:rsidR="00613A1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pi), k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arena banyaknya orang yang </w:t>
            </w:r>
            <w:r w:rsidR="00F43D5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mendoro</w:t>
            </w:r>
            <w:r w:rsidR="00655F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ng saya atas hal itu, 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maka saya menuliskannya</w:t>
            </w:r>
            <w:r w:rsidR="00F43D5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sebagaimana engkau 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lastRenderedPageBreak/>
              <w:t>akan lihat. Jika tulisan s</w:t>
            </w:r>
            <w:r w:rsidR="00F43D5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aya sesuai dengan Syekh (al-Zawāwī</w:t>
            </w:r>
            <w:r w:rsidR="000F7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),/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فهو المني والمراد وإلا فما لسنا الاراد والمردود . خلا نبينا محمد صاحب الحوض المورود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0F723E" w:rsidRDefault="000F723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maka itulah yang diinginkan dan dikehendaki. Tetapi, jika tidak, maka saya tidak bermaksud menghendaki demikian dan menolaknya. </w:t>
            </w:r>
            <w:r w:rsidR="00F90AA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Semoga </w:t>
            </w:r>
            <w:r w:rsidR="00024C42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Nabi kita,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Muḥammad</w:t>
            </w:r>
            <w:r w:rsidR="00024C42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, 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pemilik kolam dan sumb</w:t>
            </w:r>
            <w:r w:rsidR="00F90AA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er air (di akhirat) membebaskannya.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CC4458" w:rsidRPr="00EE25E4" w:rsidRDefault="00CC4458" w:rsidP="00662EB6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هاك ما أقول . وعلى أنه لديه بفضله ووسيع صدره مقبول ولأجل التوضيح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B4DEC" w:rsidRDefault="00F90AA8" w:rsidP="00F90AA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 w:rsidRPr="00162D37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I</w:t>
            </w:r>
            <w:r w:rsidR="00EB4DEC" w:rsidRPr="00162D37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nilah pendapat saya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Semoga diterima di hadapannya 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dengan keutamaan dan keluasan hatinya</w:t>
            </w:r>
            <w:r w:rsidR="004E5A8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4E5A8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Agar mendapat </w:t>
            </w:r>
            <w:r w:rsidR="00EB4DE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kejelasan/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والبيان . وضعت السؤال والجواب قبل . هاك نص العبارة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EB4DEC" w:rsidRDefault="00EB4DEC" w:rsidP="004E5A8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dan </w:t>
            </w:r>
            <w:r w:rsidR="004E5A8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penjelasan, saya meletakkan pertanyaan dan jawaban itu terlebih dulu. Inilah teks </w:t>
            </w:r>
            <w:r w:rsidR="00F43D5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ungkapan </w:t>
            </w:r>
            <w:r w:rsidR="004E5A8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kalimatnya./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(السؤال من قدس إلى مكة)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4E5A8D" w:rsidRDefault="004E5A8D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</w:t>
            </w:r>
            <w:r w:rsidRPr="001009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Pertanyaan dari Kudus ke Mekah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)/</w:t>
            </w:r>
          </w:p>
        </w:tc>
      </w:tr>
      <w:tr w:rsidR="00CC4458" w:rsidRPr="00D51FC2" w:rsidTr="00F463D6">
        <w:trPr>
          <w:trHeight w:val="242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CC4458" w:rsidRPr="00EE25E4" w:rsidRDefault="00CC4458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ما قولكم دام فضلكم نفع الله المسلمين بعلومكم القاصي</w:t>
            </w:r>
            <w:r w:rsidR="00ED5BC1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منهم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والداني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162D37" w:rsidRDefault="00162D37" w:rsidP="00162D3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Apapun pendapatmu, semoga senantiasa keutamaan ada padamu, semoga Allah memberi manfaat dengan ilmumu bagi mereka yang dekat maupun jauh.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CC445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CC4458" w:rsidRPr="00EE25E4" w:rsidRDefault="00346C42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bidi="ar-IQ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  <w:t xml:space="preserve">هل جائز قراءة مناقب الشيخ عبد القادر الجيلاني </w:t>
            </w:r>
            <w:r w:rsidR="007E3CB3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  <w:t xml:space="preserve">التي من جملة ألفاظها </w:t>
            </w:r>
            <w:r w:rsidR="007E3CB3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162D37" w:rsidRDefault="00500BE1" w:rsidP="00D5056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1) </w:t>
            </w:r>
            <w:r w:rsidR="00162D3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Apakah boleh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membaca manaqib Syekh 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</w:t>
            </w:r>
            <w:r w:rsidR="00162D3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ang di antara kata-katanya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162D3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2</w:t>
            </w:r>
            <w:r w:rsidR="00C40476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2909" w:type="dxa"/>
          </w:tcPr>
          <w:p w:rsidR="00CC4458" w:rsidRPr="00EE25E4" w:rsidRDefault="007E3CB3" w:rsidP="00654459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أنا واحد في الأرض وأنت واحد في السماء منها – إذا سئلتم الله فاسئلوني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93400A" w:rsidRDefault="00D50569" w:rsidP="00F64CD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“Aku</w:t>
            </w:r>
            <w:r w:rsidR="0093400A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F64CD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satu</w:t>
            </w:r>
            <w:r w:rsidR="00004AF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-satunya</w:t>
            </w:r>
            <w:r w:rsidR="00F64CD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di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bumi dan Engkau satu</w:t>
            </w:r>
            <w:r w:rsidR="00004AF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-satunya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di langit.”</w:t>
            </w:r>
            <w:r w:rsidR="00F64CD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Di antaranya juga, “Apabila engkau memohon pada A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llah, maka memohonlah padaku</w:t>
            </w:r>
            <w:r w:rsidR="00F64CD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”/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25</w:t>
            </w:r>
          </w:p>
        </w:tc>
        <w:tc>
          <w:tcPr>
            <w:tcW w:w="2909" w:type="dxa"/>
          </w:tcPr>
          <w:p w:rsidR="00CC4458" w:rsidRPr="00EE25E4" w:rsidRDefault="007E3CB3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ومنها .</w:t>
            </w:r>
            <w:r w:rsidR="0098159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السعداء والأشقياء يعرضون عل</w:t>
            </w:r>
            <w:r w:rsidR="0098159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D5BC1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ويوقفون لدي . ومنها </w:t>
            </w:r>
            <w:r w:rsidR="00ED5BC1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64CD5" w:rsidRDefault="00F64CD5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 antaranya juga, “</w:t>
            </w:r>
            <w:r w:rsidR="000A0CB0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Kebahagiaan dan </w:t>
            </w:r>
            <w:r w:rsidR="0098159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kesengsaraan diserahkan padaku dan ditentukan di hadapanku.” Di antaranya juga,/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قدمي على رقبة كل ولي .  </w:t>
            </w:r>
            <w:r w:rsidR="002B467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وغيرها من الالفاظ التي يتنزه الش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يخ عبد القادر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981590" w:rsidRDefault="009B7EE8" w:rsidP="00630F4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</w:t>
            </w:r>
            <w:r w:rsidR="0098159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akiku di atas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tengkuk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setiap</w:t>
            </w:r>
            <w:r w:rsidR="0098159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wali.” Dan kata-kata lainnya yang </w:t>
            </w:r>
            <w:r w:rsidR="006C5C9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mensucikan Syekh ‘Abd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al-Qā</w:t>
            </w:r>
            <w:r w:rsidR="006C5C9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dir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6C5C9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C4458" w:rsidRPr="00D51FC2" w:rsidTr="00F463D6">
        <w:trPr>
          <w:trHeight w:val="298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27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رضي الله عنه أن يتفقه بمثلها يجوز أم لا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6C5C91" w:rsidRDefault="006C5C91" w:rsidP="006C5C9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semoga Allah meridainya, yang dapat dipahami dengan semisalnya. Apakah boleh atau tidak (membacanya)?/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D51FC2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28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أيضا ما قولكم فيمن يعد المحرم لقراءتها من المرتدين أو الزنادقة أو المعتزلة 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6C5C91" w:rsidRDefault="00500BE1" w:rsidP="00630F4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2)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Bagaimana juga</w:t>
            </w:r>
            <w:r w:rsidR="006C5C9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pendapatmu tentang </w:t>
            </w:r>
            <w:r w:rsidR="0073498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orang yang menganggap haram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73498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karena </w:t>
            </w:r>
            <w:r w:rsidR="0073498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membacanya termasuk orang-orang murtad, zindiq atau Mu’tazilah?/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29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أيضا ما قولكم في قول المؤمن . يا شيخ عبد القادر الجيلاني أغثني وعافني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73498E" w:rsidRDefault="00500BE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3)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Bagaimana juga</w:t>
            </w:r>
            <w:r w:rsidR="0073498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pendapatmu tentang ucapan orang Mukmin, “Wahai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 tolonglah saya, maafkanlah saya/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C40476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30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وارزقني وسلمني .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B27703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berilah saya rejeki dan selamatkanlah saya.”/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ED5BC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31</w:t>
            </w:r>
          </w:p>
        </w:tc>
        <w:tc>
          <w:tcPr>
            <w:tcW w:w="2909" w:type="dxa"/>
          </w:tcPr>
          <w:p w:rsidR="00CC4458" w:rsidRPr="00EE25E4" w:rsidRDefault="00ED5BC1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وأيضا ما قولكم فيما نشر في هذا الزمان من كتب ابن تيمية</w:t>
            </w:r>
            <w:r w:rsidR="003722EE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"/>
            </w:r>
            <w:r w:rsidR="00753F1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307D74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وأبي المعالي </w:t>
            </w:r>
            <w:r w:rsidR="00307D74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500BE1" w:rsidP="00630F4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4)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Bagaimana j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uga pendapatmu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tentang sesuatu yang tersebar pada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zaman ini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berupa kitab-kitab Ibn T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aymiyyah, Abū al-Ma’ālī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ED5BC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32</w:t>
            </w:r>
          </w:p>
        </w:tc>
        <w:tc>
          <w:tcPr>
            <w:tcW w:w="2909" w:type="dxa"/>
          </w:tcPr>
          <w:p w:rsidR="00CC4458" w:rsidRPr="00EE25E4" w:rsidRDefault="00307D74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وابن القيم والشيخ محمد عبده والسيد المنار هل يجوز النظر فيها أم لا؟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630F4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Ibn al-Qayyim, Syekh Muḥammad ‘Abduh dan Sayyid (Muḥammad Rashīd Riḍā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’ pengarang)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al-Manā</w:t>
            </w:r>
            <w:r w:rsidR="00B27703" w:rsidRPr="00630F4C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r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? Apakah boleh mempelajarinya atau tidak?/</w:t>
            </w:r>
          </w:p>
        </w:tc>
      </w:tr>
      <w:tr w:rsidR="00CC4458" w:rsidRPr="00654A37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ED5BC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33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فإن بعض علمائنا يحرم ذلك ويزعم أن ابن تيمية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زنديق وحجتهم فتاوى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630F4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Sebagian ulama kita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mengharamkan itu. Ia menduga bahwa Ibn Taymiyyah adalah zindiq. Argumen mereka adalah fatwa/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654A37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ED5BC1" w:rsidRDefault="00ED5BC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34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ابن حجر الهيتمي الموجودة في ا</w:t>
            </w:r>
            <w:r w:rsidR="002C1215">
              <w:rPr>
                <w:rFonts w:ascii="Arabic Typesetting" w:hAnsi="Arabic Typesetting" w:cs="Arabic Typesetting"/>
                <w:sz w:val="28"/>
                <w:szCs w:val="28"/>
                <w:rtl/>
              </w:rPr>
              <w:t>لفتاوى الحديثية وهي قوله عبد خذ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له الله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630F4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Ibn Ḥajar al-Haytamī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terdapat dalam kitab 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al-Fat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ā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w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ā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 al-Ḥadī</w:t>
            </w:r>
            <w:r w:rsidR="00B27703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thiyyah</w:t>
            </w:r>
            <w:r w:rsidR="00B277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 yaitu ucapannya, “hamba yang ditinggalkan oleh Allah…/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ED5BC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35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الخ أفتونا ولكم الأجر والثواب من الملك الوهاب -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B27703" w:rsidRDefault="00B27703" w:rsidP="00A70E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dst.” Berilah kami fatwa! Semoga engkau mendapat pahala dan balasan dari </w:t>
            </w:r>
            <w:r w:rsidR="00A70EA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(Allah) Yang Memiliki lagi P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emberi.</w:t>
            </w:r>
            <w:r w:rsidR="00A70EA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Pr="006016BE" w:rsidRDefault="006016B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36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الجواب من مكة إلى قدس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A70EAC" w:rsidRDefault="00A70EAC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 w:rsidRPr="00F62F6B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Jawaban dari Mekah ke Kudus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6016B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37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تجوز قراءة مناقب الشيخ عبد القادر الجيلاني التي من جملتها هذه العبارات على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62F6B" w:rsidRDefault="00500BE1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1)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Tidak boleh membaca m</w:t>
            </w:r>
            <w:r w:rsidR="00F62F6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anaqib Syekh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‘Abd al-Qādir al-Jay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lānī</w:t>
            </w:r>
            <w:r w:rsidR="00F62F6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yang di antara kalimatnya ter</w:t>
            </w:r>
            <w:r w:rsidR="00A3282A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dapat ungkapan-ungkapan ini bagi</w:t>
            </w:r>
            <w:r w:rsidR="00F62F6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CC4458" w:rsidRPr="00D51FC2" w:rsidTr="00F463D6">
        <w:trPr>
          <w:trHeight w:val="64"/>
        </w:trPr>
        <w:tc>
          <w:tcPr>
            <w:tcW w:w="590" w:type="dxa"/>
            <w:vMerge/>
          </w:tcPr>
          <w:p w:rsidR="00CC4458" w:rsidRPr="00D51FC2" w:rsidRDefault="00CC4458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C4458" w:rsidRDefault="006016B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38</w:t>
            </w:r>
          </w:p>
        </w:tc>
        <w:tc>
          <w:tcPr>
            <w:tcW w:w="2909" w:type="dxa"/>
          </w:tcPr>
          <w:p w:rsidR="00CC4458" w:rsidRPr="00EE25E4" w:rsidRDefault="008654D6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العوام لأن هذه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3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7610C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العبارات في غاية من الشناعة ويكفر معتقد ظاهرها </w:t>
            </w:r>
            <w:r w:rsidR="00C7610C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C4458" w:rsidRPr="00F62F6B" w:rsidRDefault="00F62F6B" w:rsidP="005F22C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orang awam, karena ungkapan-ungkapan ini </w:t>
            </w:r>
            <w:r w:rsidR="005F22C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pada akhirnya mendatangkan</w:t>
            </w:r>
            <w:r w:rsidR="00A26501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keburukan dan </w:t>
            </w:r>
            <w:r w:rsidR="005F22C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memb</w:t>
            </w:r>
            <w:r w:rsidR="002432CA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</w:t>
            </w:r>
            <w:r w:rsidR="005F22C0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at kufur yang meyakini </w:t>
            </w:r>
            <w:r w:rsidR="00272BD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makna </w:t>
            </w:r>
            <w:r w:rsidR="00A26501">
              <w:rPr>
                <w:rFonts w:asciiTheme="majorBidi" w:hAnsiTheme="majorBidi" w:cstheme="majorBidi"/>
                <w:sz w:val="21"/>
                <w:szCs w:val="21"/>
                <w:lang w:val="en-US"/>
              </w:rPr>
              <w:t>zahirnya,/</w:t>
            </w:r>
          </w:p>
        </w:tc>
      </w:tr>
      <w:tr w:rsidR="006016BE" w:rsidRPr="00D51FC2" w:rsidTr="00F463D6">
        <w:trPr>
          <w:trHeight w:val="70"/>
        </w:trPr>
        <w:tc>
          <w:tcPr>
            <w:tcW w:w="590" w:type="dxa"/>
            <w:vMerge/>
          </w:tcPr>
          <w:p w:rsidR="006016BE" w:rsidRPr="00D51FC2" w:rsidRDefault="006016B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6016BE" w:rsidRDefault="006016BE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39</w:t>
            </w:r>
          </w:p>
        </w:tc>
        <w:tc>
          <w:tcPr>
            <w:tcW w:w="2909" w:type="dxa"/>
          </w:tcPr>
          <w:p w:rsidR="006016BE" w:rsidRPr="00EE25E4" w:rsidRDefault="006016BE" w:rsidP="00374BA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لا</w:t>
            </w:r>
            <w:r w:rsidR="002B2E1B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="00097F16">
              <w:rPr>
                <w:rFonts w:ascii="Arabic Typesetting" w:hAnsi="Arabic Typesetting" w:cs="Arabic Typesetting"/>
                <w:sz w:val="28"/>
                <w:szCs w:val="28"/>
                <w:rtl/>
              </w:rPr>
              <w:t>نا</w:t>
            </w:r>
            <w:r w:rsidR="00097F1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جل مقام الشيخ عبد القادر الجيلاني من مثل ذلك فهي اما مكذوبة عليه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6016BE" w:rsidRPr="00A26501" w:rsidRDefault="00000E78" w:rsidP="00272BD4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</w:t>
            </w:r>
            <w:r w:rsidR="006503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ehingga </w:t>
            </w:r>
            <w:r w:rsidR="002B2E1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kita tidak boleh mengagungkan kedudukan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2B2E1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dengan cara seperti itu. </w:t>
            </w:r>
            <w:r w:rsidR="00272BD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Maka, </w:t>
            </w:r>
            <w:r w:rsidR="00710E6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karena</w:t>
            </w:r>
            <w:r w:rsidR="00272BD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661F1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</w:t>
            </w:r>
            <w:r w:rsidR="0022298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dustakan</w:t>
            </w:r>
            <w:r w:rsidR="00AB6EF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atasnya</w:t>
            </w:r>
            <w:r w:rsidR="00D108B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96D63" w:rsidRPr="00D51FC2" w:rsidTr="00F463D6">
        <w:trPr>
          <w:trHeight w:val="298"/>
        </w:trPr>
        <w:tc>
          <w:tcPr>
            <w:tcW w:w="590" w:type="dxa"/>
          </w:tcPr>
          <w:p w:rsidR="00A96D63" w:rsidRPr="00595048" w:rsidRDefault="00A96D63" w:rsidP="006016B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/</w:t>
            </w:r>
            <w:r w:rsidR="006016B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1v</w:t>
            </w:r>
            <w:r w:rsidRPr="00595048">
              <w:rPr>
                <w:rFonts w:asciiTheme="majorBidi" w:hAnsiTheme="majorBidi" w:cstheme="majorBidi"/>
                <w:sz w:val="21"/>
                <w:szCs w:val="21"/>
              </w:rPr>
              <w:t>/</w:t>
            </w:r>
          </w:p>
        </w:tc>
        <w:tc>
          <w:tcPr>
            <w:tcW w:w="456" w:type="dxa"/>
          </w:tcPr>
          <w:p w:rsidR="00A96D63" w:rsidRPr="00595048" w:rsidRDefault="00A96D63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09" w:type="dxa"/>
          </w:tcPr>
          <w:p w:rsidR="00A96D63" w:rsidRPr="00EE25E4" w:rsidRDefault="006016BE" w:rsidP="006016BE">
            <w:pPr>
              <w:pStyle w:val="NoSpacing"/>
              <w:jc w:val="both"/>
              <w:rPr>
                <w:rFonts w:ascii="Arabic Typesetting" w:hAnsi="Arabic Typesetting" w:cs="Arabic Typesetting"/>
                <w:sz w:val="28"/>
                <w:szCs w:val="28"/>
                <w:lang w:bidi="ar-IQ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lang w:bidi="ar-IQ"/>
              </w:rPr>
              <w:t>Halaman kosong</w:t>
            </w:r>
          </w:p>
        </w:tc>
        <w:tc>
          <w:tcPr>
            <w:tcW w:w="4950" w:type="dxa"/>
          </w:tcPr>
          <w:p w:rsidR="00A96D63" w:rsidRPr="004F18CC" w:rsidRDefault="00A96D63" w:rsidP="00374BA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OM"/>
              </w:rPr>
            </w:pP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/2r/</w:t>
            </w:r>
          </w:p>
        </w:tc>
        <w:tc>
          <w:tcPr>
            <w:tcW w:w="456" w:type="dxa"/>
          </w:tcPr>
          <w:p w:rsidR="00C936EE" w:rsidRPr="00595048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>٢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 xml:space="preserve">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4F18CC" w:rsidRDefault="00D108BF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2/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 w:val="restart"/>
          </w:tcPr>
          <w:p w:rsidR="00C936EE" w:rsidRPr="00595048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C936EE" w:rsidRPr="00EE25E4" w:rsidRDefault="00C936EE" w:rsidP="00CD6294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أو تلفظ بها حاله الغي</w:t>
            </w:r>
            <w:r w:rsidR="00AB6EF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وبة أو الشطح وهي لا تعتبر بل هو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بنفسه قطعا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AB6EFA" w:rsidRDefault="00D108BF" w:rsidP="004924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atau </w:t>
            </w:r>
            <w:r w:rsidR="00AB6EF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ia mengucapkannya ketika tak sadarkan diri atau 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</w:t>
            </w:r>
            <w:r w:rsidR="00AB6EFA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t</w:t>
            </w:r>
            <w:r w:rsidR="00AB6EF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maka hal itu tidak </w:t>
            </w:r>
            <w:r w:rsidR="00E21551" w:rsidRPr="00E21551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mu’tabar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(dipertimbangkan)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melainkan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0A52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terjadi </w:t>
            </w:r>
            <w:r w:rsidR="00AE3C5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hanya </w:t>
            </w:r>
            <w:r w:rsidR="000A52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</w:t>
            </w:r>
            <w:r w:rsidR="00AB6EF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dirinya </w:t>
            </w:r>
            <w:r w:rsidR="00AE3C5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sendiri</w:t>
            </w:r>
            <w:r w:rsidR="000A52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  <w:r w:rsidR="00AB6EF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C936EE" w:rsidRPr="00EE25E4" w:rsidRDefault="00C936EE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إذ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زالت عن تلك الحالة ينكرها ول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ايرضى بها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ومثل هذه الالفاظ قد تقع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F57B17" w:rsidRDefault="000A524C" w:rsidP="000A524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A</w:t>
            </w:r>
            <w:r w:rsidR="00F57B17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pabila 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ia 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>berhenti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dari kondisi itu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, ia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akan 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mengingkarinya dan tidak rida akan hal itu. Contoh kata-kata 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>(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shaṭahāt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) </w:t>
            </w:r>
            <w:r w:rsidR="00CD6294" w:rsidRP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>ini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terjadi/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 كثير من الاولياء ارباب الرياضة في حال غيوبتهم كما وقع للشيخ الحلاج .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114F3F" w:rsidRDefault="00AE3C58" w:rsidP="00AE3C5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pada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kebanyakan para wali </w:t>
            </w:r>
            <w:r w:rsidR="00A75BD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(</w:t>
            </w:r>
            <w:r w:rsidR="00A75BD0" w:rsidRPr="00A75BD0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awliy</w:t>
            </w:r>
            <w:r w:rsidR="00A75BD0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ā’</w:t>
            </w:r>
            <w:r w:rsidR="00A75BD0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) </w:t>
            </w:r>
            <w:r w:rsidR="00CD6294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yang 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ahli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riyāḍ</w:t>
            </w:r>
            <w:r w:rsidR="00114F3F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ah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(olah spiritual) dalam keadaan tidak sadar, seb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agaimana terjadi pada Syekh al-Ḥallā</w:t>
            </w:r>
            <w:r w:rsidR="00114F3F">
              <w:rPr>
                <w:rFonts w:asciiTheme="majorBidi" w:hAnsiTheme="majorBidi" w:cstheme="majorBidi"/>
                <w:sz w:val="21"/>
                <w:szCs w:val="21"/>
                <w:lang w:val="en-US"/>
              </w:rPr>
              <w:t>j./</w:t>
            </w:r>
          </w:p>
        </w:tc>
      </w:tr>
      <w:tr w:rsidR="00C936EE" w:rsidRPr="00C2299C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أنه قال ما في الجبة غير الله والحال هو بنفسه قال لما أخبر بذلك أنكره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0A524C" w:rsidRDefault="000A524C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</w:t>
            </w:r>
            <w:r w:rsidR="00AE3C5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al-Ḥallāj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 mengatakan, “tidak ada dalam jubahku selain Allah.” Kon</w:t>
            </w:r>
            <w:r w:rsidR="00AE3C5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disi tersebut dialami dirinya sendiri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Ia mengatakan, “ketika dikabarkan hal itu, saya akan mengingkarinya.”/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C2299C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وقال إذا سمعتم من هذا اللفظ أو لفظا غيره يخالف ظاهر 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لشرع الشريف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8750C8" w:rsidRDefault="008750C8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Ia mengatakan, “Apabila engkau mendengar kata-kata ini atau kata lainnya yang menyalahi makna zahir syariat yang mulia,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فامضوا على الحكم الشرعي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8750C8" w:rsidRDefault="008750C8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maka bawalah pada hukum syariat.”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C936EE" w:rsidRPr="00EE25E4" w:rsidRDefault="00C936EE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وأما من 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عد القائل بالت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حر</w:t>
            </w:r>
            <w:r w:rsidR="007349C8">
              <w:rPr>
                <w:rFonts w:ascii="Arabic Typesetting" w:hAnsi="Arabic Typesetting" w:cs="Arabic Typesetting"/>
                <w:sz w:val="28"/>
                <w:szCs w:val="28"/>
                <w:rtl/>
              </w:rPr>
              <w:t>يم لقرا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ءتها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من المرتدين أو من الزنادقة أو المعتزلة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8750C8" w:rsidRDefault="00BD4242" w:rsidP="00771D7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2) 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Adapun orang yang 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ber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pendapat 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haram 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karena membacanya 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dan t</w:t>
            </w:r>
            <w:r w:rsidR="008750C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ermasuk orang-orang murtad</w:t>
            </w:r>
            <w:r w:rsidR="005B5B5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atau termasuk z</w:t>
            </w:r>
            <w:r w:rsidR="002B5CB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indiq atau Mu’tazilah,/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C936EE" w:rsidRPr="00EE25E4" w:rsidRDefault="007349C8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فهو غلط ويعود عليه ما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ر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مي به غيره نسئل الله السلامة من ذلك 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2B5CB7" w:rsidRDefault="002B5CB7" w:rsidP="004924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maka 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dia keliru. Tuduhan itu kembali pada apa yang dituduhkannya pada </w:t>
            </w:r>
            <w:r w:rsidR="0049242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orang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lain itu. Saya memohon keselamatan dari hal itu./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أما قول المؤمن يا شيخ عبد القادر أغثني وعافني وارزقني الخ – فهو قول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771D71" w:rsidRDefault="00BD4242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3) 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Adapun perkataan seorang Mukmin, “wahai Syekh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‘Abd al-Qādir</w:t>
            </w:r>
            <w:r w:rsidR="00771D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 bantulah saya, maafkan saya dan beri rejeki saya…dst,” itu adalah perkataan/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فظيع لا يقع من العاقل المتدين – ثم إن أراد الاستغاثة بالشيخ عبد القادر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A8675F" w:rsidRDefault="00A8675F" w:rsidP="00A8675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bodoh, tidak akan terjadi pada orang berakal yang beragama. Kemudian</w:t>
            </w:r>
            <w:r w:rsidR="0049242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jika ia </w:t>
            </w:r>
            <w:r w:rsidR="00606DE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menginginkan pertolongan dari Syekh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‘Abd al-Qādir</w:t>
            </w:r>
            <w:r w:rsidR="00606DE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,/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C936EE" w:rsidRPr="00EE25E4" w:rsidRDefault="00C936EE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الدعاء والطلب ليس 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 الله سبحانه وتعالى ويؤمل ببركة الشيخ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606DE5" w:rsidRDefault="00606DE5" w:rsidP="00D23E2B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(ingatlah) bahwa doa dan permintaan tidak ada selain dari Allah Swt. </w:t>
            </w:r>
            <w:r w:rsidR="00D23E2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Sedangkan</w:t>
            </w:r>
            <w:r w:rsidR="0049242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,</w:t>
            </w:r>
            <w:r w:rsidR="00D23E2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jika ia berharap dengan keberkahan Syekh tersebut,/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C936EE" w:rsidRPr="00EE25E4" w:rsidRDefault="00C936EE" w:rsidP="00467529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  <w:t xml:space="preserve">حصول مطلبه فلا </w:t>
            </w:r>
            <w:r w:rsidR="0046752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  <w:t xml:space="preserve">كفر بذلك وأما إن اعتقد أن الشيخ المذكور قادر على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D23E2B" w:rsidRDefault="00492423" w:rsidP="004924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agar </w:t>
            </w:r>
            <w:r w:rsidR="00D23E2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terpenuhi permin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taannya, maka hal itu tidak </w:t>
            </w:r>
            <w:r w:rsidR="00D23E2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membuat kufur. Adapun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,</w:t>
            </w:r>
            <w:r w:rsidR="00D23E2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jika ia meyakini bahwa Syekh yang disebut itu kuasa atas/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137414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C936EE" w:rsidRPr="00EE25E4" w:rsidRDefault="00C936EE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جميع ذلك وأنه يغيث ومعا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 ورازق ومسلم فيكفر بذلك والعياذ بالله -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D23E2B" w:rsidRDefault="00D23E2B" w:rsidP="00D23E2B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semua itu dan ia dapat menolong, memberi maaf, memberi rejeki dan menyelamatkan, maka ia menjadi kufur karena hal itu. </w:t>
            </w:r>
            <w:r w:rsidR="0049242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Semoga datang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perlindungan dari Allah (akan hal itu)./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أما كتب ابن تيمية وأبي المعالي ومحمد عبده وصاحب المنار فيجوز النظر فيها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445D5B" w:rsidRDefault="00BD4242" w:rsidP="004924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4) 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Adapun </w:t>
            </w:r>
            <w:r w:rsidR="007B156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terkait karangan-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karangan Ibn Taymiyyah,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Abū al-Ma’ālī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,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Muḥammad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‘Abduh dan pemilik majalah </w:t>
            </w:r>
            <w:r w:rsidR="00445D5B" w:rsidRPr="00445D5B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al-Man</w:t>
            </w:r>
            <w:r w:rsidR="00492423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ā</w:t>
            </w:r>
            <w:r w:rsidR="00445D5B" w:rsidRPr="00445D5B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r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(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Muḥammad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Rashīd Riḍā</w:t>
            </w:r>
            <w:r w:rsidR="00445D5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’)</w:t>
            </w:r>
            <w:r w:rsidR="007B156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, </w:t>
            </w:r>
            <w:r w:rsidR="0035343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maka boleh menelaah kandungannya/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والانتفاع بها لمن عنده علم لأن مؤلفيها من العلماء الاجلاء الاعلام الذي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35343C" w:rsidRDefault="0035343C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dan mengambil manfaat darinya bagi</w:t>
            </w:r>
            <w:r w:rsidR="00621EB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orang yang memiliki ilmu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Karena, para pengarangnya termasuk para ulama </w:t>
            </w:r>
            <w:r w:rsidR="00621EB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agung terkenal yang/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C936EE" w:rsidRPr="00EE25E4" w:rsidRDefault="00C936EE" w:rsidP="00240186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لا يشك في فضلهم وعلمهم الا منعت</w:t>
            </w:r>
            <w:r w:rsidR="00240186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4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أو حاسد . وقد يوجد فيها </w:t>
            </w:r>
            <w:r w:rsidR="007349C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621EB6" w:rsidRDefault="00621EB6" w:rsidP="00DA09B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tidak diragukan keutamaan dan ilmunya, kecuali </w:t>
            </w:r>
            <w:r w:rsidR="00147AB0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engkau 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menolak</w:t>
            </w:r>
            <w:r w:rsidR="00147AB0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atau (memiliki sifat) hasud. Pada karangan itu </w:t>
            </w:r>
            <w:r w:rsidR="00686C46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kadang </w:t>
            </w:r>
            <w:r w:rsidR="00147AB0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didapati/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C936EE" w:rsidRPr="00EE25E4" w:rsidRDefault="00C936EE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يخالف نصوص ظاهر كلام علماء مذهب أهل السنة والجماعة . فذلك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5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147AB0" w:rsidRDefault="00857A55" w:rsidP="00DA09B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</w:t>
            </w:r>
            <w:r w:rsidR="00686C4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esuatu yang</w:t>
            </w:r>
            <w:r w:rsidR="00147AB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menyalahi teks-teks zahir para ulama mazhab </w:t>
            </w:r>
            <w:r w:rsidR="00147AB0" w:rsidRP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Ahl</w:t>
            </w:r>
            <w:r w:rsidR="00DA09B7" w:rsidRP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 al-</w:t>
            </w:r>
            <w:r w:rsidR="00147AB0" w:rsidRP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sunnah wa</w:t>
            </w:r>
            <w:r w:rsidR="00DA09B7" w:rsidRP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 al-jamā</w:t>
            </w:r>
            <w:r w:rsidR="00147AB0" w:rsidRP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’ah</w:t>
            </w:r>
            <w:r w:rsidR="00147AB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</w:t>
            </w:r>
            <w:r w:rsidR="00686C4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Karena itu,</w:t>
            </w:r>
            <w:r w:rsidR="00F83F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C936EE" w:rsidRPr="00EE25E4" w:rsidRDefault="00686C46" w:rsidP="007349C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اجتهاد منهم أو عدم فهم المطالع لها ويكون الخلاف فيها لفظا 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F83F2C" w:rsidRDefault="00686C46" w:rsidP="00686C4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</w:t>
            </w:r>
            <w:r w:rsidR="00F83F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 ijtihad di antara mereka atau </w:t>
            </w:r>
            <w:r w:rsidR="0008217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ketidakpahaman penelaah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nya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menyalahi teks-teks itu secara lafadz./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وأما قول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6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العلامة ابن حجر فهو غير مقبول لأن قوله المذكور اجتهاد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686C46" w:rsidRDefault="00686C46" w:rsidP="00463A8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Adapun pendapat ‘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Allā</w:t>
            </w:r>
            <w:r w:rsidR="00E358F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mah </w:t>
            </w:r>
            <w:r w:rsidR="00463A8A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Ibn</w:t>
            </w:r>
            <w:r w:rsidR="00E358F5" w:rsidRPr="008B1E3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 xml:space="preserve"> </w:t>
            </w:r>
            <w:r w:rsidR="00630F4C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Ḥajar</w:t>
            </w:r>
            <w:r w:rsidR="00E358F5" w:rsidRPr="008B1E3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 xml:space="preserve"> </w:t>
            </w:r>
            <w:r w:rsidR="00463A8A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(al-Ḥaytamī</w:t>
            </w:r>
            <w:r w:rsidR="008B1E38" w:rsidRPr="008B1E3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)</w:t>
            </w:r>
            <w:r w:rsidR="00463A8A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 xml:space="preserve"> </w:t>
            </w:r>
            <w:r w:rsidR="00E358F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tidak dapat diterima, karena pendapat yang disebutkan itu adalah hasil ijtihad/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C936EE" w:rsidRPr="00EE25E4" w:rsidRDefault="00C936EE" w:rsidP="008668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منه وهو معذور في اجتهاده ولا يلزمنا تقليده ولا القول بقوله . والعالم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E358F5" w:rsidRDefault="00E358F5" w:rsidP="008668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darinya</w:t>
            </w:r>
            <w:r w:rsidR="0063204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dan ijtihadnya dapat dimaafkan. Kita tidak harus bertaklid padanya dan </w:t>
            </w:r>
            <w:r w:rsidR="0086687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tidak </w:t>
            </w:r>
            <w:r w:rsidR="002462A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berpendapat dengan </w:t>
            </w:r>
            <w:r w:rsidR="0063204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pendapatnya. Orang alim/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العاقل يأخذ ويستفيد من كلام علماء الاجلاء ما صفى ويترك ما كدر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632040" w:rsidRDefault="0063204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yang berakal akan mengambil dan mencari faidah dari perkataan para ulama agung </w:t>
            </w:r>
            <w:r w:rsidR="00D06CA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sepanjang mereka</w:t>
            </w:r>
            <w:r w:rsidR="00B51E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bersih dan meninggalkan kekeruhan</w:t>
            </w:r>
            <w:r w:rsidR="00463A8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B51E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8D2AA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 غير اعتراض على احد</w:t>
            </w:r>
            <w:r w:rsidR="00B51E2C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اذ الجزم بكفر مسلم أو زندقته فضلا من عالم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B51E2C" w:rsidRDefault="00B51E2C" w:rsidP="001C6CE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tanpa ditujukan pada seseorang, apalagi menghakimi dengan kekufuran pada seorang Muslim atau menilainya zindiq</w:t>
            </w:r>
            <w:r w:rsidR="001C6CE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, terlepas dari </w:t>
            </w:r>
            <w:r w:rsidR="00DB71C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apakah </w:t>
            </w:r>
            <w:r w:rsidR="001C6CE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ia termasuk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seorang alim/</w:t>
            </w:r>
          </w:p>
        </w:tc>
      </w:tr>
      <w:tr w:rsidR="00C936EE" w:rsidRPr="00D51FC2" w:rsidTr="00F463D6">
        <w:trPr>
          <w:trHeight w:val="70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24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 علماء الاسلام خطا</w:t>
            </w:r>
            <w:r w:rsidR="00675F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ء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محض 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7"/>
            </w:r>
          </w:p>
        </w:tc>
        <w:tc>
          <w:tcPr>
            <w:tcW w:w="4950" w:type="dxa"/>
          </w:tcPr>
          <w:p w:rsidR="00C936EE" w:rsidRPr="00B51E2C" w:rsidRDefault="001C6CE7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dari</w:t>
            </w:r>
            <w:r w:rsidR="00B51E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para ulama Islam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jelas salah./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D51FC2">
              <w:rPr>
                <w:rFonts w:asciiTheme="majorBidi" w:hAnsiTheme="majorBidi" w:cstheme="majorBidi"/>
                <w:sz w:val="21"/>
                <w:szCs w:val="21"/>
              </w:rPr>
              <w:t>2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bidi="ar-IQ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</w:rPr>
              <w:t xml:space="preserve">هذا ما ظهر لي والله أعلم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E428D5" w:rsidRDefault="00E428D5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Inilah yang tampak bagi saya. Hanya Allah yang paling mengetahui./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  <w:tc>
          <w:tcPr>
            <w:tcW w:w="2909" w:type="dxa"/>
          </w:tcPr>
          <w:p w:rsidR="00C936EE" w:rsidRPr="00EE25E4" w:rsidRDefault="00675FDF" w:rsidP="00675FD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أمن برقمه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مفتي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لشافع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ية بمكة المحمية . والأقطار الحجازية . الراجي غفران 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F75725" w:rsidRDefault="00463A8A" w:rsidP="00463A8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Aman</w:t>
            </w:r>
            <w:r w:rsidR="00F7572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dengan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raqm-</w:t>
            </w:r>
            <w:r w:rsidR="00F7572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nya, Mufti Syafi’iyah di Mekah yang terlindungi dan </w:t>
            </w:r>
            <w:r w:rsidR="00AF612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negeri Hijaz. (Atas nama) yang mengharap ampunan/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27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المساوي عبد الله ابن السيد محمد صالح الزواوي كان الله لهما آمين ٣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FC2968" w:rsidRDefault="00792BA6" w:rsidP="00463A8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dari </w:t>
            </w:r>
            <w:r w:rsidR="00FC2968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kesalahan, </w:t>
            </w:r>
            <w:r w:rsidR="00FC2968" w:rsidRPr="00F172C3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‘Abdull</w:t>
            </w:r>
            <w:r w:rsidR="00463A8A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ā</w:t>
            </w:r>
            <w:r w:rsidR="00FC2968" w:rsidRPr="00F172C3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 xml:space="preserve">h bin Sayyid </w:t>
            </w:r>
            <w:r w:rsidR="00630F4C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Muḥammad</w:t>
            </w:r>
            <w:r w:rsidR="00463A8A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 xml:space="preserve"> Ṣāliḥ</w:t>
            </w:r>
            <w:r w:rsidR="00FC2968" w:rsidRPr="00F172C3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F43D59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al-Zawāwī</w:t>
            </w:r>
            <w:r w:rsidR="00FC296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. Semoga (lindungan) Allah bagi keduanya. Amin 3</w:t>
            </w:r>
            <w:r w:rsidR="001A77A7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(kali)</w:t>
            </w:r>
            <w:r w:rsidR="00FC296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./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28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انتهى بخروجه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9A4CC8" w:rsidRDefault="009A4CC8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Selesai pemuatannya.</w:t>
            </w:r>
          </w:p>
        </w:tc>
      </w:tr>
      <w:tr w:rsidR="00C936EE" w:rsidRPr="00D51FC2" w:rsidTr="00F463D6">
        <w:trPr>
          <w:trHeight w:val="298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29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أقول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9A4CC8" w:rsidRDefault="009A4CC8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 w:rsidRPr="009A4CC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 xml:space="preserve">Saya </w:t>
            </w:r>
            <w:r w:rsidR="00DA6F8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 xml:space="preserve">(K.H. Asnawi Kudus) </w:t>
            </w:r>
            <w:r w:rsidRPr="009A4CC8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 w:bidi="ar-OM"/>
              </w:rPr>
              <w:t>berpendapat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30</w:t>
            </w:r>
          </w:p>
        </w:tc>
        <w:tc>
          <w:tcPr>
            <w:tcW w:w="2909" w:type="dxa"/>
          </w:tcPr>
          <w:p w:rsidR="00C936EE" w:rsidRPr="00EE25E4" w:rsidRDefault="00C936EE" w:rsidP="00920D09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لا تجوز قراءة مناقب الشيخ عبد القادر الجيلاني الخ فيه ما فيه </w:t>
            </w:r>
            <w:r w:rsidR="00920D0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ترى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BD64E5" w:rsidRDefault="00527C41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1) 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Perkataan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(</w:t>
            </w:r>
            <w:r w:rsidR="00920D09" w:rsidRPr="00920D0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al-Zawāwī)</w:t>
            </w:r>
            <w:r w:rsidR="00BD64E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bahwa 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</w:t>
            </w:r>
            <w:r w:rsidR="00BD64E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tidak boleh membaca manaqib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…dst,”</w:t>
            </w:r>
            <w:r w:rsidR="00BD64E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</w:t>
            </w:r>
            <w:r w:rsidR="008566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 dalamnya tidak ada apa-apa, selain engkau lihat/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31</w:t>
            </w:r>
          </w:p>
        </w:tc>
        <w:tc>
          <w:tcPr>
            <w:tcW w:w="2909" w:type="dxa"/>
          </w:tcPr>
          <w:p w:rsidR="00C936EE" w:rsidRPr="00EE25E4" w:rsidRDefault="00C936EE" w:rsidP="00675FD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أنه علل عدم الجواز بم</w:t>
            </w:r>
            <w:r w:rsidR="00675F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شناعة العبارات فهو من الدعوى بلا لوث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85663E" w:rsidRDefault="00E844C7" w:rsidP="00E844C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hanya </w:t>
            </w:r>
            <w:r w:rsidR="008566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alasan </w:t>
            </w:r>
            <w:r w:rsidR="00FC157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ketidakbolehan </w:t>
            </w:r>
            <w:r w:rsidR="00201B2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menyukai keburukan ungkapan-ungkapan tersebut. </w:t>
            </w:r>
            <w:r w:rsidR="001A77A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Ia merupakan 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klaim</w:t>
            </w:r>
            <w:r w:rsidR="001A77A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tanpa </w:t>
            </w:r>
            <w:r w:rsidR="0011098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kebodohan</w:t>
            </w:r>
            <w:r w:rsidR="00920D0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11098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32</w:t>
            </w:r>
          </w:p>
        </w:tc>
        <w:tc>
          <w:tcPr>
            <w:tcW w:w="2909" w:type="dxa"/>
          </w:tcPr>
          <w:p w:rsidR="00C936EE" w:rsidRPr="00EE25E4" w:rsidRDefault="00C936EE" w:rsidP="00675FD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يشهد على صدق ما </w:t>
            </w:r>
            <w:r w:rsidR="00675F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دعى به وبلا برهان أثبته به فشناعة العبارات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8A4E9E" w:rsidRDefault="008A4E9E" w:rsidP="0025040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yang </w:t>
            </w:r>
            <w:r w:rsidR="001B6F0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bersaksi atas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kebenaran </w:t>
            </w:r>
            <w:r w:rsidR="001B6F0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klaim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itu</w:t>
            </w:r>
            <w:r w:rsidR="0007167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</w:t>
            </w:r>
            <w:r w:rsidR="00CB68B2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anpa bukti </w:t>
            </w:r>
            <w:r w:rsidR="009E630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yang ia tetapkan</w:t>
            </w:r>
            <w:r w:rsidR="002504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 Maka,</w:t>
            </w:r>
            <w:r w:rsidR="009E630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keburukan ungkapan-ungkapan tersebut</w:t>
            </w:r>
            <w:r w:rsidR="0007167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9E630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33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 أي جهة فهل هي</w:t>
            </w:r>
            <w:r w:rsidR="00743D3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من جهة ألفاظها أو من حيث الذكي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أو من حيث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9E6301" w:rsidRDefault="00F75529" w:rsidP="0025040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(terdapat) </w:t>
            </w:r>
            <w:r w:rsidR="002504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dalam aspek yang mana?</w:t>
            </w:r>
            <w:r w:rsidR="0007167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743D3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pakah </w:t>
            </w:r>
            <w:r w:rsidR="002504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dari aspek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2504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lafadz-lafadznya? Atau dari aspek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2504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kepintaran? Atau dari aspek</w:t>
            </w:r>
            <w:r w:rsidR="00743D3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34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الركاكة أم من حيث المعنى أو المراد . أم من حيث فقدان المبالغة المذكورة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7B0F2A" w:rsidRDefault="00250406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kelemahan? Atau dari aspek</w:t>
            </w:r>
            <w:r w:rsidR="007B0F2A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m</w:t>
            </w:r>
            <w:r w:rsidR="009C4F68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akna atau maksud? Atau dari aspek</w:t>
            </w:r>
            <w:r w:rsidR="007B0F2A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ket</w:t>
            </w:r>
            <w:r w:rsidR="00766FC9">
              <w:rPr>
                <w:rFonts w:asciiTheme="majorBidi" w:hAnsiTheme="majorBidi" w:cstheme="majorBidi"/>
                <w:sz w:val="21"/>
                <w:szCs w:val="21"/>
                <w:lang w:val="en-US"/>
              </w:rPr>
              <w:t>iadaan kelebihan yang disebutkan/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35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 علم المعاني والبديع أم غير ذلك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766FC9" w:rsidRDefault="00766FC9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dalam ilmu </w:t>
            </w:r>
            <w:r w:rsidR="009C4F6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ma’ānī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dan </w:t>
            </w:r>
            <w:r w:rsidR="009C4F6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badī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/>
              </w:rPr>
              <w:t>’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? Atau selain dari itu?</w:t>
            </w:r>
            <w:r w:rsidR="0041690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  <w:vMerge/>
          </w:tcPr>
          <w:p w:rsidR="00C936EE" w:rsidRPr="00137414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36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على أنا نقول أن تلك العبارات من الكلام المنظوم لفظا ومعنى من حيث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452075" w:rsidRDefault="00452075" w:rsidP="008B44B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Saya berpendapat bahwa ungkapan-ungkapan itu termasuk bagian dari </w:t>
            </w:r>
            <w:r w:rsidR="009C4F6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perkataan</w:t>
            </w:r>
            <w:r w:rsidR="008B44B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disusun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secara lafadz dan makna</w:t>
            </w:r>
            <w:r w:rsidR="008B44B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dilihat dari segi/</w:t>
            </w:r>
          </w:p>
        </w:tc>
      </w:tr>
      <w:tr w:rsidR="00C936EE" w:rsidRPr="00D51FC2" w:rsidTr="00F463D6">
        <w:trPr>
          <w:trHeight w:val="70"/>
        </w:trPr>
        <w:tc>
          <w:tcPr>
            <w:tcW w:w="590" w:type="dxa"/>
            <w:vMerge/>
          </w:tcPr>
          <w:p w:rsidR="00C936EE" w:rsidRPr="00D51FC2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6" w:type="dxa"/>
          </w:tcPr>
          <w:p w:rsidR="00C936EE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37</w:t>
            </w:r>
          </w:p>
        </w:tc>
        <w:tc>
          <w:tcPr>
            <w:tcW w:w="2909" w:type="dxa"/>
          </w:tcPr>
          <w:p w:rsidR="00C936EE" w:rsidRPr="00EE25E4" w:rsidRDefault="00675FDF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اليها 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غير مختلة في عربيتها وتركيبها ومعنى مرادها – وكيف لا وهي كما لا يخفى </w:t>
            </w:r>
            <w:r w:rsidR="00C936E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452075" w:rsidRDefault="00452075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bahwa </w:t>
            </w:r>
            <w:r w:rsidR="008B44B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ia tidak membingungkan dalam kearabannya, strukturnya dan makna yang ditujunya.</w:t>
            </w:r>
            <w:r w:rsidR="00D92E76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Bagaimana tidak, sedangkan ia sebagaimana terlihat/</w:t>
            </w:r>
          </w:p>
        </w:tc>
      </w:tr>
      <w:tr w:rsidR="00C936EE" w:rsidRPr="00D51FC2" w:rsidTr="00F463D6">
        <w:trPr>
          <w:trHeight w:val="64"/>
        </w:trPr>
        <w:tc>
          <w:tcPr>
            <w:tcW w:w="590" w:type="dxa"/>
          </w:tcPr>
          <w:p w:rsidR="00C936EE" w:rsidRPr="00CE1014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/2v/</w:t>
            </w:r>
          </w:p>
        </w:tc>
        <w:tc>
          <w:tcPr>
            <w:tcW w:w="456" w:type="dxa"/>
          </w:tcPr>
          <w:p w:rsidR="00C936EE" w:rsidRPr="00F11D4A" w:rsidRDefault="00C936EE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909" w:type="dxa"/>
          </w:tcPr>
          <w:p w:rsidR="00C936EE" w:rsidRPr="00EE25E4" w:rsidRDefault="00C936EE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 w:bidi="ar-OM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>٣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 xml:space="preserve">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C936EE" w:rsidRPr="00DB2FA2" w:rsidRDefault="00DB2FA2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3/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 w:val="restart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797890" w:rsidRPr="00EE25E4" w:rsidRDefault="00E5411C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على التأمل ب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ص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فاء الأمل من الكلام البليغ . لأن فيها مجاز بالإستعارات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C5568E" w:rsidRDefault="00D92E76" w:rsidP="00E4277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merupakan </w:t>
            </w:r>
            <w:r w:rsidR="00E4277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refleksi murninya </w:t>
            </w:r>
            <w:r w:rsidR="00C5568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harapan dari kalam</w:t>
            </w:r>
            <w:r w:rsidR="00E4277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yang fasih. Karena, di dalamnya terdapat </w:t>
            </w:r>
            <w:r w:rsidR="009C4F6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majāz isti’ā</w:t>
            </w:r>
            <w:r w:rsidR="00C5568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rah</w:t>
            </w:r>
            <w:r w:rsidR="00C5568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(metafor)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 w:rsidR="00C5568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797890" w:rsidRPr="00EE25E4" w:rsidRDefault="00E5411C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كما يعلمها من تأ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 بذلك أما من جهة صحة المعنى والمراد فنقول -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C5568E" w:rsidRDefault="00C5568E" w:rsidP="0015328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sebagaimana </w:t>
            </w:r>
            <w:r w:rsidR="00C4534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diketahuinya dari </w:t>
            </w:r>
            <w:r w:rsidR="0015328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perenungan itu. Adapun dilihat dari segi validitas makna dan tujuan, maka saya berpendapat/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قول الشيخ عبد القادر الجيلاني (أنت واحد في السماء وأنا واحد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53285" w:rsidRDefault="00153285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bahwa ucapan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, “engkau satu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-satunya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di langit dan saya satu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-satunya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في الأرض) معناه أن الله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8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سبحانه وتعالى منفرد في علوه لا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53285" w:rsidRDefault="00153285" w:rsidP="00746EC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 bumi,” maknanya adalah bahwa Allah Swt. </w:t>
            </w:r>
            <w:r w:rsidR="0068092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</w:t>
            </w:r>
            <w:r w:rsidR="00746EC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endirian</w:t>
            </w:r>
            <w:r w:rsidR="0068092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(Esa)</w:t>
            </w:r>
            <w:r w:rsidR="00746EC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dalam keluhuran-Nya, tidak/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يشاركه فيه أحد – وأن الشيخ عبد القادر الجيلاني في الدرجة العلى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746ECD" w:rsidRDefault="00746ECD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 sekutu satupun pada-Nya. Sedangkan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berada dalam derajat tinggi,/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حتى يكون هو تحت من كان فيها وعليه أن السماء في قوله معناه العلو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20702F" w:rsidRDefault="0020702F" w:rsidP="0068092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hingga ia ada di bawah Dzat yang ada di dalam</w:t>
            </w:r>
            <w:r w:rsidR="0068092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derajat tinggi itu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ata langit dalam ucapannya itu bermakna ketinggian</w:t>
            </w:r>
            <w:r w:rsidR="0049449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الجرم 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لموجود فوقنا وأن الأرض فيه معناه الأسفل لا الجرم العهود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494494" w:rsidRDefault="00494494" w:rsidP="009A176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bukan jasad yang ada di atas kita. Sedangkan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kata bumi di sini bermakna rendah, bukan jasad yang berlindung/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تحت أقدامنا وفيه مجاز من باب إطلاق الملزوم وإرادة اللازم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494494" w:rsidRDefault="00E96516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 bawah</w:t>
            </w:r>
            <w:r w:rsidR="0049449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kaki kita. Padanya terdapat metafor (</w:t>
            </w:r>
            <w:r w:rsidR="009C4F6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majāz</w:t>
            </w:r>
            <w:r w:rsidR="0049449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) yang masuk dalam kaidah “menyebutkan yang </w:t>
            </w:r>
            <w:r w:rsidR="00773514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 luar batas, padahal yang dimaksud adalah yang lazim (biasa terjadi).”</w:t>
            </w:r>
            <w:r w:rsidR="0090175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وهذا الكلام كلام 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نفيس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 يشك من له أدنى علم من علم العربية ولا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773514" w:rsidRDefault="00773514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Ucapan ini adalah ucapan yang indah, tidak akan membuat ragu orang yang mem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iliki ilmu rendah sekalipun dalam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ilmu bahasa Arab. Tidak akan/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ينكره إلا جهول عنيد – وفي التنزيل (الرحمن على العرش استوى)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773514" w:rsidRDefault="00773514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mengingkarinya kecuali kebodohan yang keras kepala. Dalam </w:t>
            </w:r>
            <w:r w:rsidR="001A197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Al-Qur’an </w:t>
            </w:r>
            <w:r w:rsidR="00C24112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(misalnya juga) </w:t>
            </w:r>
            <w:r w:rsidR="001A197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disebutkan, “</w:t>
            </w:r>
            <w:r w:rsidR="00CF581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Yang Maha Pengasih, yang bersemayam di atas ‘Arsy” (Q.S. Taha/20: 5).</w:t>
            </w:r>
            <w:r w:rsidR="0090175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وفيه كلام طويل لا يليق</w:t>
            </w:r>
            <w:r w:rsidR="00E5411C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9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يانه هنا – وبما ذكر بعلم صحة العبارات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CF5813" w:rsidRDefault="00CF5813" w:rsidP="00CF581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Padanya terdapat pembicaraan panjang yang tidak layak dimunculkan di sini. </w:t>
            </w:r>
            <w:r w:rsidR="00C24112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Karenanya, </w:t>
            </w:r>
            <w:r w:rsidR="00901758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ia menyebutkan dengan pengetahuan tentang validitas ungkapan-ungkapan tersebut,/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بل نظمها وحسنها لفظا ومعنى ولا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غ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بار فيها لدي كل من اتصف وعدم ظهور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901758" w:rsidRDefault="00901758" w:rsidP="0090175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bahkan ia menyusun dan membaguskanya secara lafadz dan makna. Tidak ada cela padanya di hadapan semua orang yang disifati. (Sebaliknya) tidak ada kejelasan/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أفتى به المفتي 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ش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اعة العبارات وهي علة الحكم بعدم جواز قراءة المناقب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F358EA" w:rsidRDefault="00901758" w:rsidP="0090175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dalam fatwa mufti itu terkait keburukan ungkapan-ungkapan tersebut. </w:t>
            </w:r>
            <w:r w:rsidR="00F358E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Padahal ia merupakan sebab (</w:t>
            </w:r>
            <w:r w:rsidR="00F358EA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‘illat</w:t>
            </w:r>
            <w:r w:rsidR="00F358E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 hukum ketidakbolehan membaca manaqib/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797890" w:rsidRPr="00EE25E4" w:rsidRDefault="00F358EA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لشيخ عبد القادر الجيلاني . وقد زالت بما ذكرناه سابقا ولاحقا وقد قالوا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F358EA" w:rsidRDefault="00F358EA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</w:t>
            </w:r>
            <w:r w:rsidR="00EB15A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Ia sudah terhapus dengan apa yang sudah saya sebutkan sebelumnya dan sesudahnya. Mereka mengatakan,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الحكم يدور مع علته وجودا وعدما هذا . وقول الشيخ عبد القادر الجيلاني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EB15A3" w:rsidRDefault="00EB15A3" w:rsidP="00E9651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“hukum itu beredar bersama dengan sebabnya, a</w:t>
            </w:r>
            <w:r w:rsidR="009751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 atau tidak adanya (sebab) ini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.” </w:t>
            </w:r>
            <w:r w:rsidR="00E965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Adapun </w:t>
            </w:r>
            <w:r w:rsidR="009751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ucapan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97517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,/</w:t>
            </w:r>
          </w:p>
        </w:tc>
      </w:tr>
      <w:tr w:rsidR="00797890" w:rsidRPr="00625BEE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(إذا سئلتم الله فاسئلوني) وفي النسخة الصحيحة هكذا (وإذا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975171" w:rsidRDefault="00975171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“Apabila engkau memohon pada Allah, maka memohonlah padaku.” Dalam </w:t>
            </w:r>
            <w:r w:rsidR="004B5B5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salinan</w:t>
            </w:r>
            <w:r w:rsidR="00571BA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4B5B5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(naskah) 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yang sahih</w:t>
            </w:r>
            <w:r w:rsidR="00571BA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(bunyinya) seperti ini, “Apabila/</w:t>
            </w:r>
          </w:p>
        </w:tc>
      </w:tr>
      <w:tr w:rsidR="00797890" w:rsidRPr="00625BEE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سئلتم الله فاسئلوه بي) وعليها فلا غ</w:t>
            </w:r>
            <w:r w:rsidR="00E541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ار ولا شيئ في العبارة بل هي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AA3889" w:rsidRDefault="00571BA6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 xml:space="preserve">engkau memohon pada Allah, maka memohonlah pada-Nya dengan namaku.” </w:t>
            </w:r>
            <w:r w:rsidR="004B5B5A">
              <w:rPr>
                <w:rFonts w:asciiTheme="majorBidi" w:hAnsiTheme="majorBidi" w:cstheme="majorBidi"/>
                <w:sz w:val="21"/>
                <w:szCs w:val="21"/>
              </w:rPr>
              <w:t>Pada ungkapan itu tidak ada cel</w:t>
            </w:r>
            <w:r w:rsidR="002177BE">
              <w:rPr>
                <w:rFonts w:asciiTheme="majorBidi" w:hAnsiTheme="majorBidi" w:cstheme="majorBidi"/>
                <w:sz w:val="21"/>
                <w:szCs w:val="21"/>
              </w:rPr>
              <w:t>a dan tidak ada masalah. Bahkan/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797890" w:rsidRPr="00EE25E4" w:rsidRDefault="00E5411C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ظاهرة على كل أحد كش</w:t>
            </w:r>
            <w:r w:rsidR="002177B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مس</w:t>
            </w:r>
            <w:r w:rsidR="002177BE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0"/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الظهيرة يعلمها ويعلم معناها كل ذي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صير صحيح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2177BE" w:rsidRDefault="002177BE" w:rsidP="002177B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jelas bagi setiap orang, sebagaimana jelasnya matahari. Semua orang yang punya penglihatan baik akan tahu ungkapan itu dan tahu maknanya./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797890" w:rsidRPr="00EE25E4" w:rsidRDefault="00797890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ليس فيه رمص يستره عن النظر فيها ولا رمد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1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يمنعه عن اللحية لما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2177BE" w:rsidRDefault="002177BE" w:rsidP="002C08B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Tidak ada padanya </w:t>
            </w:r>
            <w:r w:rsidR="0046506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kesilauan yang menutupi penglihatan padanya. Tidak ada pula </w:t>
            </w:r>
            <w:r w:rsidR="002C08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penyakit mata</w:t>
            </w:r>
            <w:r w:rsidR="0046506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menghalanginya dari pandangan</w:t>
            </w:r>
            <w:r w:rsidR="002C08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akan</w:t>
            </w:r>
            <w:r w:rsidR="0046506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</w:t>
            </w:r>
            <w:r w:rsidR="002C08B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797890" w:rsidRPr="00EE25E4" w:rsidRDefault="00E5411C" w:rsidP="00E5411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فيها . وحينئ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ذ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يقول عاقل ان هذه العبارة في غاية من الش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اعة كلا ثم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2C08BD" w:rsidRDefault="002C08BD" w:rsidP="001563C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kandungannya. </w:t>
            </w:r>
            <w:r w:rsidR="001563C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Dan kemudian, apakah seorang berakal akan mengatakan bahwa ungkapan ini </w:t>
            </w:r>
            <w:r w:rsidR="001563CA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pada 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akhirnya mendatangkan keburukan? Sekali-kali tidak!</w:t>
            </w:r>
            <w:r w:rsidR="001563CA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797890" w:rsidRPr="00EE25E4" w:rsidRDefault="00797890" w:rsidP="00DB2FA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كلا – وعلى تسليم صحة العبارة المسؤل عنها فلا غ</w:t>
            </w:r>
            <w:r w:rsidR="00DB2FA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ار أيضا لأن قوله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0C07D6" w:rsidRDefault="000C07D6" w:rsidP="0006491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Diterimanya ungkapan 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valid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yang ditanyakan itu, maka tidak ada cela pula (padanya), karena ucapannya,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F11D4A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فاسئلواني على تقدير كونه سببا </w:t>
            </w:r>
            <w:r w:rsidR="004419AC">
              <w:rPr>
                <w:rFonts w:ascii="Arabic Typesetting" w:hAnsi="Arabic Typesetting" w:cs="Arabic Typesetting"/>
                <w:sz w:val="28"/>
                <w:szCs w:val="28"/>
                <w:rtl/>
              </w:rPr>
              <w:t>ووسيلة إلى الله قال تعالى و</w:t>
            </w:r>
            <w:r w:rsidR="004419A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أتيناه</w:t>
            </w:r>
            <w:r w:rsidR="004419AC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2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0C07D6" w:rsidRDefault="000C07D6" w:rsidP="003238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“maka mohonlah padaku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” </w:t>
            </w:r>
            <w:r w:rsidR="00BB12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maksudnya adalah </w:t>
            </w:r>
            <w:r w:rsidR="003238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keberadaa</w:t>
            </w:r>
            <w:r w:rsidR="0084021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n</w:t>
            </w:r>
            <w:r w:rsidR="003238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nya</w:t>
            </w:r>
            <w:r w:rsidR="00BB126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menjadi sebab dan perantara pada Allah. </w:t>
            </w:r>
            <w:r w:rsidR="003238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Allah Ta’ala berfirman, “</w:t>
            </w:r>
            <w:r w:rsidR="00A61AA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Dan Kami telah memberikan</w:t>
            </w:r>
            <w:r w:rsidR="004419A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A61AA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</w:t>
            </w:r>
            <w:r w:rsidR="004419A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padanya</w:t>
            </w:r>
            <w:r w:rsidR="00A61AA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jalan</w:t>
            </w:r>
            <w:r w:rsidR="003238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Pr="00503E36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24</w:t>
            </w:r>
          </w:p>
        </w:tc>
        <w:tc>
          <w:tcPr>
            <w:tcW w:w="2909" w:type="dxa"/>
          </w:tcPr>
          <w:p w:rsidR="00797890" w:rsidRPr="00EE25E4" w:rsidRDefault="004419AC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من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كل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3"/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شيئ سببا الأية قال وابتغوا إليه الوسيلة الأية كما لايخفى على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4419AC" w:rsidRDefault="0006491D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(untuk mencapai) segala sesuatu</w:t>
            </w:r>
            <w:r w:rsidR="004419A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”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</w:t>
            </w:r>
            <w:r w:rsidR="004419A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Q.S. al-Kahf/18: 84). Allah juga berfirman, “</w:t>
            </w:r>
            <w:r w:rsidR="001E021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carilah wasilah (jalan) untuk mendekatkan diri kepada-Nya” (Q.S. al-Ma’idah/5: 35). Sebagaimana hal itu sudah jelas bagi/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25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أدنى تلميذ فضلا عن أكابره .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1E021D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murid paling yunior, apalagi bagi para seniornya./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26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وأما قول الشيخ عبد القادر الجيلاني (ان السعداء والأشقياء يعرضون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1E021D" w:rsidP="001E021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ucapan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“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Kebahagiaan dan kesengsaraan diserahkan/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27</w:t>
            </w:r>
          </w:p>
        </w:tc>
        <w:tc>
          <w:tcPr>
            <w:tcW w:w="2909" w:type="dxa"/>
          </w:tcPr>
          <w:p w:rsidR="00797890" w:rsidRPr="00EE25E4" w:rsidRDefault="001E021D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عل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ويوقفون لدي) فلا مانع من ذلك حيث أن ذلك من جملة الكرامات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1E021D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padaku dan ditentukan di hadapanku.” Maka, tidak ada larangan akan hal itu sepanjang hal itu termasuk bentuk karamah-karamah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(kemuliaan)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28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الخارقات للعادة للأولياء وإنما أظهره على غيره تحدثا بالنعم التي أنعم الله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8A159A" w:rsidRDefault="001E021D" w:rsidP="00B456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yang di luar kebiasaan bagi para wali. </w:t>
            </w:r>
            <w:r w:rsidR="008A159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Syekh memperlihatkannya pada yang lain sebagai bentuk </w:t>
            </w:r>
            <w:r w:rsidR="0006491D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taḥ</w:t>
            </w:r>
            <w:r w:rsidR="008A159A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adduth bi al-ni’mah</w:t>
            </w:r>
            <w:r w:rsidR="008A159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</w:t>
            </w:r>
            <w:r w:rsidR="00B4562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nyatakan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nikmat)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yang sudah Allah berikan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29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بما عليه عملا بقوله سبحانه وتعالى (وأما بنعمة ربك فحدث) أيجوز المسلم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B45623" w:rsidP="00B4562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adanya, sebagai bentuk pengamalan firman Allah Swt, “Dan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terhadap nikmat Tuhan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mu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hendaklah engkau nyatakan</w:t>
            </w:r>
            <w:r w:rsidR="009C1A6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”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(Q.S. al-Dhuha/93: 11). Apakah boleh seorang Muslim/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30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ومؤمن أن ينكرها؟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B45623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dan Mukmin mengingkarinya?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31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وقول الشيخ</w:t>
            </w:r>
            <w:r w:rsidR="00DB2FA2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4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عبد القادر الجيلاني المسؤل عنه (قدمي على رقبة كل ولي) هذه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401997" w:rsidP="009B7EE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ucapan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yang ditanyakan itu, “kakiku di atas </w:t>
            </w:r>
            <w:r w:rsidR="009B7EE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tengkuk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semua wali.” Ini/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32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العبارات مختلفة لما في البهجة وعبارتها هكذا (قدمي هذه على رقبة كل ولي لله)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 xml:space="preserve"> /</w:t>
            </w:r>
          </w:p>
        </w:tc>
        <w:tc>
          <w:tcPr>
            <w:tcW w:w="4950" w:type="dxa"/>
          </w:tcPr>
          <w:p w:rsidR="00797890" w:rsidRPr="00401997" w:rsidRDefault="00401997" w:rsidP="009B7EE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merupakan ungkapan yang berbeda-beda, karena dalam kitab </w:t>
            </w:r>
            <w:r w:rsidRPr="00A52443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bidi="ar-OM"/>
              </w:rPr>
              <w:t>al-Bahjah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ungkapannya begini, “kakiku ini di atas </w:t>
            </w:r>
            <w:r w:rsidR="009B7EE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tengkuk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semua wali karena Allah.”/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33</w:t>
            </w:r>
          </w:p>
        </w:tc>
        <w:tc>
          <w:tcPr>
            <w:tcW w:w="2909" w:type="dxa"/>
          </w:tcPr>
          <w:p w:rsidR="00797890" w:rsidRPr="00EE25E4" w:rsidRDefault="00DB2FA2" w:rsidP="00DB2FA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هذه كل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مة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مشهورة ذكر أسانيدها مؤلف الب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هج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ة ومن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راد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5"/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العلم فعليه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440951" w:rsidRDefault="00440951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Kalimat ini masyhur. Sanadnya disebutkan oleh pengarang kitab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al-Bahjah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. </w:t>
            </w:r>
            <w:r w:rsidR="00F769E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Siapa yang mengingin</w:t>
            </w:r>
            <w:r w:rsidR="00E041E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kan ilmunya, maka wajib baginya/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34</w:t>
            </w:r>
          </w:p>
        </w:tc>
        <w:tc>
          <w:tcPr>
            <w:tcW w:w="2909" w:type="dxa"/>
          </w:tcPr>
          <w:p w:rsidR="00797890" w:rsidRPr="00EE25E4" w:rsidRDefault="00DB2FA2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بمطالعتها ولا احتاج إلى 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طالة هنا وهذا الكلام من جملة التحدث </w:t>
            </w:r>
            <w:r w:rsidR="007978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A70FC4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menelaah kitab itu</w:t>
            </w:r>
            <w:r w:rsidR="00E041E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 Tidak perlu diperpanjang di sini. Perkataan ini adalah termasuk bentuk “menyatakan/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35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بالنعم كما نقدم قريبا من حيث أن الله تعالى رفعه إلى أعلى المقام . وفيه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E041E7" w:rsidRDefault="00E041E7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nikmat (</w:t>
            </w:r>
            <w:r w:rsidR="0006491D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taḥadduth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bi al-ni’mah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), sebagaimana baru saja berlalu</w:t>
            </w:r>
            <w:r w:rsidR="0006491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(penjelasannya)</w:t>
            </w:r>
            <w:r w:rsidR="009B7EE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dari segi bahwa Allah Ta’ala mengangkatnya ke posisi paling tinggi. Padanya juga/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36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تلميح وإشارة في التولية على كل ولي من أولياء الله تعالى فهذا لا مانع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9B7EE8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 pemberitahuan dan isyarat dalam </w:t>
            </w:r>
            <w:r w:rsidR="007A28F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penunjuk</w:t>
            </w:r>
            <w:r w:rsidR="00B0091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an atas semua wali dari wali-wali Allah Ta’ala. Hal ini tidak ada larangan/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37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أيضا من حيث إكرام المولى له بكرامات منها ذلك هذا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B0091C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pula dari segi pemulyaan pelindungnya dengan karamah-karamah darinya. Demikian itu/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38</w:t>
            </w:r>
          </w:p>
        </w:tc>
        <w:tc>
          <w:tcPr>
            <w:tcW w:w="2909" w:type="dxa"/>
          </w:tcPr>
          <w:p w:rsidR="00797890" w:rsidRPr="00EE25E4" w:rsidRDefault="00797890" w:rsidP="00DB2FA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وهذا كله من أوله إلى أخره </w:t>
            </w:r>
            <w:r w:rsidR="00DB2FA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لم نقل أن الشيخ عبد القادر تلفظ حالة الغيبوبة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B0091C" w:rsidP="00EB464B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dan ini semua dari awal sampai akhir menunjukkan bahwa tidak </w:t>
            </w:r>
            <w:r w:rsidR="00EB464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diriwayatkan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bahwa Syekh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‘Abd al-Qādir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berkata-kata dalam kondisi tidak sadar</w:t>
            </w:r>
            <w:r w:rsidR="00EB464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vMerge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797890" w:rsidRDefault="00797890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39</w:t>
            </w:r>
          </w:p>
        </w:tc>
        <w:tc>
          <w:tcPr>
            <w:tcW w:w="2909" w:type="dxa"/>
          </w:tcPr>
          <w:p w:rsidR="00797890" w:rsidRPr="00EE25E4" w:rsidRDefault="00797890" w:rsidP="00C936E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وإلا فلا مانع قطعا لأن الكلام المذكور كله حينئذ ليس من كلامه بل هو من كلام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EB464B" w:rsidP="00C936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J</w:t>
            </w:r>
            <w:r w:rsidR="00B0091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ika tidak</w:t>
            </w:r>
            <w:r w:rsidR="005771D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(sadar sekalipun)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maka tidak ada penghalang sama sekali, karena perkataan yang disebutkan itu semuanya bukan perkataannya, tetapi merupakan perkataan/</w:t>
            </w:r>
          </w:p>
        </w:tc>
      </w:tr>
      <w:tr w:rsidR="00797890" w:rsidRPr="00D51FC2" w:rsidTr="00F463D6">
        <w:trPr>
          <w:trHeight w:val="64"/>
        </w:trPr>
        <w:tc>
          <w:tcPr>
            <w:tcW w:w="590" w:type="dxa"/>
            <w:tcBorders>
              <w:top w:val="nil"/>
            </w:tcBorders>
          </w:tcPr>
          <w:p w:rsidR="00797890" w:rsidRDefault="00797890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/3r/</w:t>
            </w:r>
          </w:p>
        </w:tc>
        <w:tc>
          <w:tcPr>
            <w:tcW w:w="456" w:type="dxa"/>
          </w:tcPr>
          <w:p w:rsidR="00797890" w:rsidRPr="00F11D4A" w:rsidRDefault="00797890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909" w:type="dxa"/>
          </w:tcPr>
          <w:p w:rsidR="00797890" w:rsidRPr="00EE25E4" w:rsidRDefault="00E82F35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>٤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bidi="ar-OM"/>
              </w:rPr>
              <w:t xml:space="preserve">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797890" w:rsidRPr="001C2CF2" w:rsidRDefault="00EB464B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4/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A77C5D" w:rsidRPr="00097F16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A77C5D" w:rsidRPr="00EE25E4" w:rsidRDefault="00A77C5D" w:rsidP="008720B1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الله تعالى كما أقره المفتي فيما حيث قال فيه (أو تلفظ حالة الشطح أو الغيبوبة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5771D3" w:rsidRDefault="00EB464B" w:rsidP="003155C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Allah Ta’</w:t>
            </w:r>
            <w:r w:rsidR="003155C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ala.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3155C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ebagaimana </w:t>
            </w:r>
            <w:r w:rsidR="0047047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mufti itu menetapkannya ketika ia mengatakan, “</w:t>
            </w:r>
            <w:r w:rsidR="005771D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atau ia berkata-kata dalam kondisi 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shaṭahāt</w:t>
            </w:r>
            <w:r w:rsidR="005771D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atau tidak sadar.”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A77C5D" w:rsidRPr="00EE25E4" w:rsidRDefault="00A77C5D" w:rsidP="008720B1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وبذلك يعلم أن ما أفتي به المفتي لا يعتقد إليه لأنه غير مستقيم وعقيم هذا والله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5771D3" w:rsidRDefault="005771D3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Karena itu, ia mengetahui bahwa apa yang difatw</w:t>
            </w:r>
            <w:r w:rsidR="003155C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akan mufti itu tidak diyakininya sendiri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, karena ia tidak konsisten dan </w:t>
            </w:r>
            <w:r w:rsidR="003155C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sia-sia. Demikianlah, Allah/</w:t>
            </w:r>
          </w:p>
        </w:tc>
      </w:tr>
      <w:tr w:rsidR="00A77C5D" w:rsidRPr="00D51FC2" w:rsidTr="00F463D6">
        <w:trPr>
          <w:trHeight w:val="179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77C5D" w:rsidRPr="00797890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4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أعلم بالصواب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A77C5D" w:rsidRPr="003155CA" w:rsidRDefault="003155CA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lebih mengetahui akan maksudnya./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A77C5D" w:rsidRPr="00EE25E4" w:rsidRDefault="00A77C5D" w:rsidP="000C7E2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ويكفر معتقد ظاهرها الخ يفيد أن معتقد حقيقتها لا يكفر وهذا غير معقول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076AE9" w:rsidRDefault="00076AE9" w:rsidP="00987704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Adapun ucapan, “dan 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membuat kufur yang meyakini zahirnya</w:t>
            </w:r>
            <w:r w:rsidR="00987704">
              <w:rPr>
                <w:rFonts w:asciiTheme="majorBidi" w:hAnsiTheme="majorBidi" w:cstheme="majorBidi"/>
                <w:sz w:val="21"/>
                <w:szCs w:val="21"/>
                <w:lang w:val="en-US"/>
              </w:rPr>
              <w:t>…dst</w:t>
            </w: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” </w:t>
            </w:r>
            <w:r w:rsidR="00987704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menunjukkan bahwa yang meyakini akan hakikatnya tidak kufur. Hal ini tidak masuk akal/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 المعنى على أن الكفر سببه لا يكون إلا باعتقاد معنى الحقيقي لا باعتقاد ظاهر الألفاظ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987704" w:rsidRDefault="00987704" w:rsidP="00B6762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secara makna, karena penyebab kekufuran </w:t>
            </w:r>
            <w:r w:rsidR="00B676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itu hanya keyakinan akan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makna hakiki, bukan keyakinan akan zahir lafadz/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A77C5D" w:rsidRPr="00EE25E4" w:rsidRDefault="00A77C5D" w:rsidP="000C7E2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كما هو المعلوم قوله لا </w:t>
            </w:r>
            <w:r w:rsidR="00097F1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</w:t>
            </w:r>
            <w:r w:rsidR="000C7E23">
              <w:rPr>
                <w:rFonts w:ascii="Arabic Typesetting" w:hAnsi="Arabic Typesetting" w:cs="Arabic Typesetting"/>
                <w:sz w:val="28"/>
                <w:szCs w:val="28"/>
                <w:rtl/>
              </w:rPr>
              <w:t>أتجل مقام الشيخ الخ ظاهر</w:t>
            </w:r>
            <w:r w:rsidR="000C7E2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</w:t>
            </w:r>
            <w:r w:rsidR="000C7E2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تعليل لقوله ويكفر معتقد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987704" w:rsidRDefault="00987704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sebagaimana sudah maklum. </w:t>
            </w:r>
            <w:r w:rsidR="00A0764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Adapun ucapannya, </w:t>
            </w:r>
            <w:r w:rsidR="00097F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“kita tidak boleh mengagungkan kedudukan Syekh…dst</w:t>
            </w:r>
            <w:r w:rsidR="00B6762C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097F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” zahirnya disebabka</w:t>
            </w:r>
            <w:r w:rsidR="00BB4C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n karena ucapannya, “dan menjadi</w:t>
            </w:r>
            <w:r w:rsidR="00097F1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kufur yang meyakini/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ظاهرها فيكون معنى الكلام هكذا وإنما يكفر معتقد ظاهرها لا</w:t>
            </w:r>
            <w:r w:rsidR="00650303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نأتجل مقام الشيخ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097F16" w:rsidRDefault="00097F16" w:rsidP="0008042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zahirnya.” Maka, makna perkataan itu adalah </w:t>
            </w:r>
            <w:r w:rsidR="0065030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demikian </w:t>
            </w:r>
            <w:r w:rsidR="00BB4C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ini, “bahwa menjadi</w:t>
            </w:r>
            <w:r w:rsidR="0008042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kufur yang meyakini zahirnya, sehingga kita tidak boleh mengagungkan kedudukan Syekh/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A77C5D" w:rsidRPr="00EE25E4" w:rsidRDefault="00F0201C" w:rsidP="000C7E2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</w:t>
            </w:r>
            <w:r w:rsidR="00A77C5D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بد القادر عن مثل ذلك فكيف يكون أجلا له علة لكفر معتقد ظاهر الألفاظ -؟ </w:t>
            </w:r>
            <w:r w:rsidR="00A77C5D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400B9B" w:rsidRDefault="00D50569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al-Jaylānī</w:t>
            </w:r>
            <w:r w:rsidR="0008042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dengan cara seperti itu.” Maka, bagaimana bisa keadaannya yang agung menjadi sebab </w:t>
            </w:r>
            <w:r w:rsidR="000C7E2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bagi </w:t>
            </w:r>
            <w:r w:rsidR="0008042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kekufuran orang yang meyakini zahirnya lafaz tersebut?/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وهذا بعد كبعد المشرقين وحينئذ شتان بين المعلوم وبين علته هذا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080425" w:rsidRDefault="00080425" w:rsidP="00BB4C4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Hal ini adalah jauh seperti jauhnya </w:t>
            </w:r>
            <w:r w:rsidR="00BB4C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dua </w:t>
            </w:r>
            <w:r w:rsidR="008D0A4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(tempat terbit matahari) di </w:t>
            </w:r>
            <w:r w:rsidR="00BB4C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timur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. Kemudian terdapat perbedaan besar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lastRenderedPageBreak/>
              <w:t>antara yang diketahui (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ma’lū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m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 dan penyebabnya 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‘illat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 ini./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والله أعلم . قوله فهي مكذوبة عليه الخ فيه الجزم والإثبات على أحد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750FAD" w:rsidRDefault="00A145DA" w:rsidP="00797890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Wallāh</w:t>
            </w:r>
            <w:r w:rsidR="0008042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u a’lam</w:t>
            </w:r>
            <w:r w:rsidR="0008042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</w:t>
            </w:r>
            <w:r w:rsidR="0061513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Adapun ucapannya, “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di</w:t>
            </w:r>
            <w:r w:rsidR="00750FA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dustakan</w:t>
            </w:r>
            <w:r w:rsidR="005B4F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atas</w:t>
            </w:r>
            <w:r w:rsidR="00750FA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nya…dst” padanya terdapat </w:t>
            </w:r>
            <w:r w:rsidR="005B4F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penentuan dan penetapan atas salah satu/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>أمرين وهما كون العبارة مكذوبة عليه وكونه</w:t>
            </w:r>
            <w:r w:rsidR="001C1B19">
              <w:rPr>
                <w:rFonts w:ascii="Arabic Typesetting" w:hAnsi="Arabic Typesetting" w:cs="Arabic Typesetting" w:hint="cs"/>
                <w:sz w:val="28"/>
                <w:szCs w:val="28"/>
                <w:rtl/>
                <w:lang w:val="en-US"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ا ملفوظة حالة الشطح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C0404D" w:rsidRDefault="005B4FF7" w:rsidP="001C1B1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dari dua perkara. Keduanya </w:t>
            </w:r>
            <w:r w:rsidR="00C0404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itu adalah bentuk ungkapan yang didustakan atasnya dan </w:t>
            </w:r>
            <w:r w:rsidR="001C1B1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keduanya </w:t>
            </w:r>
            <w:r w:rsidR="00C0404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dikatakan dalam kondisi 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shaṭahāt</w:t>
            </w:r>
            <w:r w:rsidR="00C0404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A77C5D" w:rsidRPr="00EE25E4" w:rsidRDefault="00A77C5D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والغيبوبة . وعلى </w:t>
            </w:r>
            <w:r w:rsidR="001E1A36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الأول من كونها مكذوبة عليه فما ادعى به من الدعوى </w:t>
            </w:r>
            <w:r w:rsidR="001E1A36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C0404D" w:rsidRDefault="00C0404D" w:rsidP="0095437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dan tidak sadar. 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Pada yang pertama</w:t>
            </w:r>
            <w:r w:rsidR="0048410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,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keadaa</w:t>
            </w:r>
            <w:r w:rsidR="0048410E">
              <w:rPr>
                <w:rFonts w:asciiTheme="majorBidi" w:hAnsiTheme="majorBidi" w:cstheme="majorBidi"/>
                <w:sz w:val="21"/>
                <w:szCs w:val="21"/>
                <w:lang w:val="en-US"/>
              </w:rPr>
              <w:t>n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nya di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dusta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/>
              </w:rPr>
              <w:t>k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an atasnya, maka ia </w:t>
            </w:r>
            <w:r w:rsidR="0095437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mengklaim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954373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dengan klaim</w:t>
            </w:r>
            <w:r w:rsidR="00F83E06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yang</w:t>
            </w:r>
            <w:r w:rsidR="006A39F5">
              <w:rPr>
                <w:rFonts w:asciiTheme="majorBidi" w:hAnsiTheme="majorBidi" w:cstheme="majorBidi"/>
                <w:sz w:val="21"/>
                <w:szCs w:val="21"/>
                <w:lang w:val="en-US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A77C5D" w:rsidRPr="00EE25E4" w:rsidRDefault="00625A16" w:rsidP="00FA00D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الباطلة لأنه خال عن البيان . بل هو أقرب إلى افتراء وهذيان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6A39F5" w:rsidRDefault="006A39F5" w:rsidP="00FA00D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batil, karena ia tidak ada penjelasan. Bahkan ia lebih </w:t>
            </w:r>
            <w:r w:rsidR="00661F1F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dekat pada mengada-ada dan</w:t>
            </w:r>
            <w:r w:rsidR="00FA00D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igauan./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A77C5D" w:rsidRPr="00EE25E4" w:rsidRDefault="00625A16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ومن أين يعلم ذلك من الذي كذب عليه ومن إسمه وأين مكانه وبلده أيكون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661F1F" w:rsidRDefault="00661F1F" w:rsidP="009C1BF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Dari mana ia tahu akan hal itu? Siapa orang yang 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berdusta atas nama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nya? Siapa namanya?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Di mana tempat</w:t>
            </w:r>
            <w:r w:rsidR="001951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tinggal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dan ne</w:t>
            </w:r>
            <w:r w:rsidR="0048410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gerinya? Apakah ada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A77C5D" w:rsidRPr="00EE25E4" w:rsidRDefault="00FF765B" w:rsidP="008873AE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شاهد</w:t>
            </w:r>
            <w:r w:rsidR="008873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((يشهد على ذلك؟)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وعلى ال</w:t>
            </w:r>
            <w:r w:rsidR="008873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ثا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ن</w:t>
            </w:r>
            <w:r w:rsidR="008873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من كونها</w:t>
            </w:r>
            <w:r w:rsidR="00493C2B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6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ملف</w:t>
            </w:r>
            <w:r w:rsidR="008873AE">
              <w:rPr>
                <w:rFonts w:ascii="Arabic Typesetting" w:hAnsi="Arabic Typesetting" w:cs="Arabic Typesetting"/>
                <w:sz w:val="28"/>
                <w:szCs w:val="28"/>
                <w:rtl/>
              </w:rPr>
              <w:t>وظة بها حالة الغيبوبة فيه إقرار</w:t>
            </w:r>
            <w:r w:rsidR="008873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8873A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9C1BF7" w:rsidRDefault="0048410E" w:rsidP="0048410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saksi (yang </w:t>
            </w:r>
            <w:r w:rsidR="009C1BF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menyaksikan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hal itu)</w:t>
            </w:r>
            <w:r w:rsidR="001951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?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Kedua, </w:t>
            </w:r>
            <w:r w:rsidR="001951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keadaannya diucapkan dalam kondisi tidak sadar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. Padanya terdapat penetapan</w:t>
            </w:r>
            <w:r w:rsidR="001951E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A77C5D" w:rsidRPr="00EE25E4" w:rsidRDefault="004B5A2A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 المفتي بأنها لا تكون من كلام البشر الذي يحتمل الصدق والكذب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412B44" w:rsidRDefault="0048410E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dari mufti itu bahwa ia bukan termasuk ucapan manusia yang mengandung kebenaran dan dusta./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A77C5D" w:rsidRPr="00EE25E4" w:rsidRDefault="000D4BF3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بل هي من كلام الله عز وجل . وحينئذ لا شك في أنها عبارة صحيحة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AA3889" w:rsidRDefault="0048410E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 xml:space="preserve">Tetapi, ia bagian dari firman Allah </w:t>
            </w:r>
            <w:r w:rsidRPr="0048410E">
              <w:rPr>
                <w:rFonts w:asciiTheme="majorBidi" w:hAnsiTheme="majorBidi" w:cstheme="majorBidi"/>
                <w:i/>
                <w:iCs/>
                <w:sz w:val="21"/>
                <w:szCs w:val="21"/>
              </w:rPr>
              <w:t>azza wajall</w:t>
            </w:r>
            <w:r>
              <w:rPr>
                <w:rFonts w:asciiTheme="majorBidi" w:hAnsiTheme="majorBidi" w:cstheme="majorBidi"/>
                <w:sz w:val="21"/>
                <w:szCs w:val="21"/>
              </w:rPr>
              <w:t xml:space="preserve">. </w:t>
            </w:r>
            <w:r w:rsidR="00643CD5">
              <w:rPr>
                <w:rFonts w:asciiTheme="majorBidi" w:hAnsiTheme="majorBidi" w:cstheme="majorBidi"/>
                <w:sz w:val="21"/>
                <w:szCs w:val="21"/>
              </w:rPr>
              <w:t>Kemudian, tidak ada keraguan bahwa ia merupakan ungkapan yang benar/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A77C5D" w:rsidRPr="00EE25E4" w:rsidRDefault="000D4BF3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 ظاهر الشريعة وحقيقتها . وعليه أيجوز القائل ان يقول أن العبارة غير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643CD5" w:rsidRDefault="00643CD5" w:rsidP="007F694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menurut zahir syariat dan hakikatnya. </w:t>
            </w:r>
            <w:r w:rsidR="00793DC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Dan padanya, apakah boleh </w:t>
            </w:r>
            <w:r w:rsidR="007F694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 </w:t>
            </w:r>
            <w:r w:rsidR="0098667B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orang </w:t>
            </w:r>
            <w:r w:rsidR="007F694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yang </w:t>
            </w:r>
            <w:r w:rsidR="00793DC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mengatakan bahwa ungkapan itu tidak/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A77C5D" w:rsidRPr="00EE25E4" w:rsidRDefault="000D4BF3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معتبرة كما يقول به المفتي ؟ قوله وهي لا تعتبر الخ ما المراد بعدم الإعتبار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98667B" w:rsidRPr="00793DCE" w:rsidRDefault="00E21551" w:rsidP="00CA5DB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mu’tabar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(dipertimbangkan</w:t>
            </w:r>
            <w:r w:rsidR="00DB048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 standar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)</w:t>
            </w:r>
            <w:r w:rsidR="00793DCE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7F694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sebagaimana dikatakan mufti itu? Adapun ucapannya, “ia tidak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mu’tabar</w:t>
            </w:r>
            <w:r w:rsidR="007F694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…dst,” </w:t>
            </w:r>
            <w:r w:rsidR="00CA5DB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apa yang dimaksud dengan</w:t>
            </w:r>
            <w:r w:rsidR="008577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tidak dapat dipertanggungjawabkan</w:t>
            </w:r>
            <w:r w:rsidR="00CA5DB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itu?</w:t>
            </w:r>
            <w:r w:rsidR="007F694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A77C5D" w:rsidRPr="00EE25E4" w:rsidRDefault="000D4BF3" w:rsidP="001B643B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فإن اريد به عدم العبرة لدي المفتي </w:t>
            </w:r>
            <w:r w:rsidR="001B643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نفس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 من غير دليل يدل على ما ادعى به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7F6941" w:rsidRDefault="007F6941" w:rsidP="00E2155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Jika d</w:t>
            </w:r>
            <w:r w:rsidR="00857743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imaksudkannya tidak dapat dipertanggungjawabkan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itu adalah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 hadapan mufti itu sendiri 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dengan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tanpa 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disertai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dalil yang menunjukkan atas klaimnya</w:t>
            </w:r>
            <w:r w:rsidR="00A679D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itu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A77C5D" w:rsidRPr="00EE25E4" w:rsidRDefault="000D4BF3" w:rsidP="00D1738A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فهو ك</w:t>
            </w:r>
            <w:r w:rsidR="001B643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س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راب</w:t>
            </w:r>
            <w:r w:rsidR="00927E4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بقيعة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7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643B3A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يحسبه الظمآن ماء وان أريد به عدم العبرة 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منها</w:t>
            </w:r>
            <w:r w:rsidR="00643B3A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643B3A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7F6941" w:rsidRDefault="007F6941" w:rsidP="00CA5DB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maka </w:t>
            </w:r>
            <w:r w:rsidR="00F83E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ia </w:t>
            </w:r>
            <w:r w:rsidR="00A679D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“</w:t>
            </w:r>
            <w:r w:rsidR="00F83E0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seperti </w:t>
            </w:r>
            <w:r w:rsidR="00A679D7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fatamorgana yang disangka air oleh orang-orang yang dahaga” (Q.S. al-Nur/24: 39).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Jika dimaksudkannya </w:t>
            </w:r>
            <w:r w:rsidR="00CA5DB6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tidak dapat dipertanggungjawabkan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dari </w:t>
            </w:r>
            <w:r w:rsidR="008570E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ungkapannya itu</w:t>
            </w:r>
            <w:r w:rsidR="00E21551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,</w:t>
            </w:r>
            <w:r w:rsidR="008570E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F11D4A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A77C5D" w:rsidRPr="00EE25E4" w:rsidRDefault="00E404EA" w:rsidP="008570E9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فلا بد من الإتيان بالبرهان وإلا لم يكن </w:t>
            </w:r>
            <w:r w:rsidR="008570E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كمثل الهذيان هذا؟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8570E9" w:rsidRDefault="008570E9" w:rsidP="008570E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maka mesti dengan mendatangkan bukti. Jika tidak, ia akan seperti igauan ini?/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Pr="00503E36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24</w:t>
            </w:r>
          </w:p>
        </w:tc>
        <w:tc>
          <w:tcPr>
            <w:tcW w:w="2909" w:type="dxa"/>
          </w:tcPr>
          <w:p w:rsidR="00A77C5D" w:rsidRPr="00EE25E4" w:rsidRDefault="00E404EA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قطعا الخ كيف المراد به فإن أريد عدم الخلاف لدي علماء المذهب أو علماء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8570E9" w:rsidRDefault="008570E9" w:rsidP="00B676D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Adapun ucapannya, “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>shaṭahāt</w:t>
            </w:r>
            <w:r w:rsidR="00934BA5">
              <w:rPr>
                <w:rFonts w:asciiTheme="majorBidi" w:hAnsiTheme="majorBidi" w:cstheme="majorBidi"/>
                <w:i/>
                <w:iCs/>
                <w:sz w:val="21"/>
                <w:szCs w:val="21"/>
                <w:lang w:val="en-US" w:bidi="ar-OM"/>
              </w:rPr>
              <w:t xml:space="preserve"> </w:t>
            </w:r>
            <w:r w:rsidR="00934BA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itu terjadi hanya pada dirinya saja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…dst,” </w:t>
            </w:r>
            <w:r w:rsidR="00B676DA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apa yang dimaksudkannya? Jika ia ingin tidak ada perbedaan pendapat di hadapan para ulama mazhab atau ulama/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25</w:t>
            </w:r>
          </w:p>
        </w:tc>
        <w:tc>
          <w:tcPr>
            <w:tcW w:w="2909" w:type="dxa"/>
          </w:tcPr>
          <w:p w:rsidR="00A77C5D" w:rsidRPr="00EE25E4" w:rsidRDefault="00E404EA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المسلمين الم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تبرين في قولهم ونقلهم فعليه الاتيان بالكلام المنقول الذي أيده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B676DA" w:rsidRDefault="00B676DA" w:rsidP="00A27D54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kaum Muslim yang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mu’tabar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(standar) dalam ucapan dan riwayatnya, maka ia harus mendata</w:t>
            </w:r>
            <w:r w:rsidR="004A7AA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ngkan perkataan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A27D5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yang dikutipnya, </w:t>
            </w:r>
            <w:r w:rsidR="004A7AA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menguatkannya/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26</w:t>
            </w:r>
          </w:p>
        </w:tc>
        <w:tc>
          <w:tcPr>
            <w:tcW w:w="2909" w:type="dxa"/>
          </w:tcPr>
          <w:p w:rsidR="00A77C5D" w:rsidRPr="00EE25E4" w:rsidRDefault="00D1738A" w:rsidP="00B676DA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عل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ى</w:t>
            </w:r>
            <w:r w:rsidR="00CF73CF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ذلك و</w:t>
            </w:r>
            <w:r w:rsidR="00895E2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="00CF73CF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</w:t>
            </w:r>
            <w:r w:rsidR="008463A2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فمردود عليه ؟</w:t>
            </w:r>
          </w:p>
        </w:tc>
        <w:tc>
          <w:tcPr>
            <w:tcW w:w="4950" w:type="dxa"/>
          </w:tcPr>
          <w:p w:rsidR="00A77C5D" w:rsidRPr="001C2CF2" w:rsidRDefault="00B676DA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atas hal itu. Jika tidak, </w:t>
            </w:r>
            <w:r w:rsidR="00895E2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maka pendapatnya ditolak?/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27</w:t>
            </w:r>
          </w:p>
        </w:tc>
        <w:tc>
          <w:tcPr>
            <w:tcW w:w="2909" w:type="dxa"/>
          </w:tcPr>
          <w:p w:rsidR="00A77C5D" w:rsidRPr="00EE25E4" w:rsidRDefault="008463A2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قوله إذا زالت</w:t>
            </w:r>
            <w:r w:rsidR="00D1738A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8"/>
            </w:r>
            <w:r w:rsidR="00D1738A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د تلك الحالة ينكرها ولا رضى بها الخ أقول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A27D54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perkataannya, “</w:t>
            </w:r>
            <w:r w:rsidR="00407D11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Apabila ia berhenti dari kondisi itu, ia akan mengingkarinya dan tidak rida akan hal itu…dst. Menurut saya,/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28</w:t>
            </w:r>
          </w:p>
        </w:tc>
        <w:tc>
          <w:tcPr>
            <w:tcW w:w="2909" w:type="dxa"/>
          </w:tcPr>
          <w:p w:rsidR="00A77C5D" w:rsidRPr="00EE25E4" w:rsidRDefault="008463A2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فإن </w:t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أريد بالإنكار وعدم الرضا من حيث أن العبارات تخرج منه بلا اختيار </w:t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913E46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jika dimaksudkan</w:t>
            </w:r>
            <w:r w:rsidR="001A56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adalah pengingkaran dan tidak rida dari segi bahwa ungkapan-ungkapan (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shaṭahāt</w:t>
            </w:r>
            <w:r w:rsidR="001A56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</w:t>
            </w:r>
            <w:r w:rsidR="001A5670" w:rsidRPr="001A56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itu</w:t>
            </w:r>
            <w:r w:rsidR="001A56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keluar tanpa diusahakan/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29</w:t>
            </w:r>
          </w:p>
        </w:tc>
        <w:tc>
          <w:tcPr>
            <w:tcW w:w="2909" w:type="dxa"/>
          </w:tcPr>
          <w:p w:rsidR="00A77C5D" w:rsidRPr="00EE25E4" w:rsidRDefault="00B71C21" w:rsidP="00D1738A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منه ف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سلم حينئذ ان إنكاره 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تلك العبارات من حيث ظهورها منه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1A5670" w:rsidP="001A567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darinya (keluar begitu saja), maka ia tetap Muslim. Kemudian, sesungguhnya pengingkarannya atas ungkapan-ungkapan itu adalah dari segi zahirnya/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30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باختياره لا من حيث فساد المعنى واللفظ على ان المتكلم بها حينئذ هو الله سبحانه وتعالى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1A5670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dengan usahanya, tidak dari segi rusaknya makna dan lafadz bahwa yang berbicara pada saat itu adalah Allah Swt./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31</w:t>
            </w:r>
          </w:p>
        </w:tc>
        <w:tc>
          <w:tcPr>
            <w:tcW w:w="2909" w:type="dxa"/>
          </w:tcPr>
          <w:p w:rsidR="00A77C5D" w:rsidRPr="00EE25E4" w:rsidRDefault="00B71C21" w:rsidP="00D1738A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قال صلى الله عليه وسلم يقول الله تعالى ما تقرب إلي المتقربون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1A5670" w:rsidP="00237FB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Nabi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Muḥammad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Saw. bersabda, “Allah Ta’ala berfirman, ‘Tidak</w:t>
            </w:r>
            <w:r w:rsidR="00237FB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lah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237FB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orang-orang mendekatkan diri pada-Ku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32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بمثل أداء ما افترض</w:t>
            </w:r>
            <w:r w:rsidR="00237FBE">
              <w:rPr>
                <w:rFonts w:ascii="Arabic Typesetting" w:hAnsi="Arabic Typesetting" w:cs="Arabic Typesetting"/>
                <w:sz w:val="28"/>
                <w:szCs w:val="28"/>
                <w:rtl/>
              </w:rPr>
              <w:t>ت عليهم ولا يزال العبد بتقرب إل</w:t>
            </w:r>
            <w:r w:rsidR="00237FB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بالنوافل حتى أحبه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237FBE" w:rsidP="00487DE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dengan melaksanakan apa yang Aku wajibkan kepada mereka, dan senantiasalah seorang hamba mendekatkan diri pada-Ku dengan amal-amal sunat sehingga Aku mencintainya./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33</w:t>
            </w:r>
          </w:p>
        </w:tc>
        <w:tc>
          <w:tcPr>
            <w:tcW w:w="2909" w:type="dxa"/>
          </w:tcPr>
          <w:p w:rsidR="00A77C5D" w:rsidRPr="00EE25E4" w:rsidRDefault="00D1738A" w:rsidP="00D1738A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ف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ذا</w:t>
            </w:r>
            <w:r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19"/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أحب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ته كنت سمعه الذي يسمع به وبصره الذي يبصر به ولسانه </w:t>
            </w:r>
            <w:r w:rsidR="00B71C21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237FBE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Jika Aku sudah mencintainya, maka Aku menjadi telinganya yang mendengar, matanya yang melihat, lidahnya/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34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الذي ينطق به ويده التي يبطش بها ورجله التي يمشي بها . كذا قاله الغزالي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237FBE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berbicara, tangannya yang memegang dan kakinya yang berjalan.</w:t>
            </w:r>
            <w:r w:rsidR="003002D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’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Demikian pula </w:t>
            </w:r>
            <w:r w:rsidRPr="003F36A1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al-Ghazali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berkata/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35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في البداية وهذا ا</w:t>
            </w:r>
            <w:r w:rsidR="00EA5F1D">
              <w:rPr>
                <w:rFonts w:ascii="Arabic Typesetting" w:hAnsi="Arabic Typesetting" w:cs="Arabic Typesetting"/>
                <w:sz w:val="28"/>
                <w:szCs w:val="28"/>
                <w:rtl/>
              </w:rPr>
              <w:t>لحديث من حديث القدسي والكلام ال</w:t>
            </w:r>
            <w:r w:rsidR="00EA5F1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نسى كذا قاله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237FBE" w:rsidRDefault="00237FBE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dalam kitab </w:t>
            </w:r>
            <w:r w:rsidRPr="003F36A1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bidi="ar-OM"/>
              </w:rPr>
              <w:t>al-Bidayah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. Hadis ini termasuk </w:t>
            </w:r>
            <w:r w:rsidR="00EA5F1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ke dalam hadis qudsi dan kalam manusia. Demikian dikatakan/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36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الشارح وهذا الحديث فيه تأييد لما قلنا من أن المتكلم هو المولى سبحانه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EA5F1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oleh </w:t>
            </w:r>
            <w:r w:rsidRPr="003F36A1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pensyarah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. Pada hadis ini terdapat penegasan atas apa yang saya katakan bahwa yang berbicara adalah </w:t>
            </w:r>
            <w:r w:rsidR="00B90E5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Maha Pelindung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 w:rsidR="00B90E5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Allah Swt./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37</w:t>
            </w:r>
          </w:p>
        </w:tc>
        <w:tc>
          <w:tcPr>
            <w:tcW w:w="2909" w:type="dxa"/>
          </w:tcPr>
          <w:p w:rsidR="00A77C5D" w:rsidRPr="00EE25E4" w:rsidRDefault="00B71C21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وتعالى اذا كان الشيخ عبد القادر الجيلاني متلفظا حالة الشطح وال</w:t>
            </w:r>
            <w:r w:rsidR="00482903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غيبوبة </w:t>
            </w:r>
            <w:r w:rsidR="00482903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8C69EE" w:rsidRDefault="003002D8" w:rsidP="003002D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(termasuk) a</w:t>
            </w:r>
            <w:r w:rsidR="00B90E5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pabila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al-Jaylānī</w:t>
            </w:r>
            <w:r w:rsidR="008C69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mengucapkan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nya</w:t>
            </w:r>
            <w:r w:rsidR="008C69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dalam keadaan 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shaṭahāt</w:t>
            </w:r>
            <w:r w:rsidR="008C69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dan tidak sadar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  <w:r w:rsidR="008C69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A77C5D" w:rsidRPr="00D51FC2" w:rsidTr="00F463D6">
        <w:trPr>
          <w:trHeight w:val="64"/>
        </w:trPr>
        <w:tc>
          <w:tcPr>
            <w:tcW w:w="590" w:type="dxa"/>
            <w:vMerge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A77C5D" w:rsidRDefault="00A77C5D" w:rsidP="007978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38</w:t>
            </w:r>
          </w:p>
        </w:tc>
        <w:tc>
          <w:tcPr>
            <w:tcW w:w="2909" w:type="dxa"/>
          </w:tcPr>
          <w:p w:rsidR="00A77C5D" w:rsidRPr="00EE25E4" w:rsidRDefault="00482903" w:rsidP="00797890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والمفتي أثبت أحد أمرين ولم يجزم بواحد منه</w:t>
            </w:r>
            <w:r w:rsidR="00D1738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 وعليه يقال أيجوز الاعتماد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A77C5D" w:rsidRPr="001C2CF2" w:rsidRDefault="003002D8" w:rsidP="009B76B4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</w:t>
            </w:r>
            <w:r w:rsidR="007F218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edang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kan</w:t>
            </w:r>
            <w:r w:rsidR="007F218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mufti itu </w:t>
            </w:r>
            <w:r w:rsidR="009B76B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menguat</w:t>
            </w:r>
            <w:r w:rsidR="007F218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kan salah satu dari dua perkara dan tidak </w:t>
            </w:r>
            <w:r w:rsidR="00FD33F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mengambil keputusan </w:t>
            </w:r>
            <w:r w:rsidR="008522D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satu dari keduanya</w:t>
            </w:r>
            <w:r w:rsidR="009B76B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itu</w:t>
            </w:r>
            <w:r w:rsidR="008522D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. Karenanya, harus ditanyakan padanya, apakah boleh </w:t>
            </w:r>
            <w:r w:rsidR="00561AA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menyandarkan argumen/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tcBorders>
              <w:top w:val="nil"/>
            </w:tcBorders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39</w:t>
            </w:r>
          </w:p>
        </w:tc>
        <w:tc>
          <w:tcPr>
            <w:tcW w:w="2909" w:type="dxa"/>
          </w:tcPr>
          <w:p w:rsidR="00482903" w:rsidRPr="00EE25E4" w:rsidRDefault="00482903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بقول من لم يجزم في قوله . قوله ومثل هذه الألفاظ قد تقع من كثير من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561AAF" w:rsidP="002F472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dengan ucapan orang yang tidak </w:t>
            </w:r>
            <w:r w:rsidR="00FD33F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mengambil keputusan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dalam ucapannya?</w:t>
            </w:r>
            <w:r w:rsidR="00DC236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Adapun perkataannya, “dan </w:t>
            </w:r>
            <w:r w:rsidR="002F472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contoh kata-kata (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shaṭahāt</w:t>
            </w:r>
            <w:r w:rsidR="002F472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</w:t>
            </w:r>
            <w:r w:rsidR="00DC236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2F472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ini </w:t>
            </w:r>
            <w:r w:rsidR="00DC236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terjadi di kebanyakan/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tcBorders>
              <w:top w:val="nil"/>
            </w:tcBorders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/3v/</w:t>
            </w:r>
          </w:p>
        </w:tc>
        <w:tc>
          <w:tcPr>
            <w:tcW w:w="456" w:type="dxa"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1</w:t>
            </w:r>
          </w:p>
        </w:tc>
        <w:tc>
          <w:tcPr>
            <w:tcW w:w="2909" w:type="dxa"/>
          </w:tcPr>
          <w:p w:rsidR="00482903" w:rsidRPr="00EE25E4" w:rsidRDefault="00482903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٥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DC2368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5/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482903" w:rsidRPr="00EE25E4" w:rsidRDefault="00482903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الأولياء الخ فيه تأييد و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تقوية لما مر من قوله أي المفتي أو تلفظ بها </w:t>
            </w:r>
            <w:r w:rsidR="009D7B12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DC2368" w:rsidP="003F094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para wali…dst. </w:t>
            </w:r>
            <w:r w:rsidR="007C2FE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Padanya terdapat penegasan dan penguat</w:t>
            </w:r>
            <w:r w:rsidR="00002E2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terkait ucapan mufti </w:t>
            </w:r>
            <w:r w:rsidR="002D7C2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telah lewat</w:t>
            </w:r>
            <w:r w:rsidR="00002E2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itu</w:t>
            </w:r>
            <w:r w:rsidR="002D7C2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bahwa </w:t>
            </w:r>
            <w:r w:rsidR="003F094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perkataan itu</w:t>
            </w:r>
            <w:r w:rsidR="002F472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482903" w:rsidRPr="00EE25E4" w:rsidRDefault="00E5286B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حالة الشطح والغيبوبة . وعليه أن العبارات أمثالها كثير </w:t>
            </w:r>
            <w:r w:rsidR="00175790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فليست من </w:t>
            </w:r>
            <w:r w:rsidR="00175790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2F472E" w:rsidRDefault="002F472E" w:rsidP="003F094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dalam kondisi 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shaṭahāt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dan tidak sadar. </w:t>
            </w:r>
            <w:r w:rsidR="003F094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Baginya, ungkapan-ungkapan itu</w:t>
            </w:r>
            <w:r w:rsidR="002D7C2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contohnya banyak. Ia bukan termasuk/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797890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4</w:t>
            </w:r>
          </w:p>
        </w:tc>
        <w:tc>
          <w:tcPr>
            <w:tcW w:w="2909" w:type="dxa"/>
          </w:tcPr>
          <w:p w:rsidR="00482903" w:rsidRPr="00EE25E4" w:rsidRDefault="00175790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غرائب الألفاظ حتى أعرض عنها العلماء الأجلاء وكيف أعرضوا عنها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2D7C2D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kata-kata aneh, sehingga para ulama agung berpaling darinya.</w:t>
            </w:r>
            <w:r w:rsidR="003534F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Bagaimana mungkin mereka berpaling darinya/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482903" w:rsidRPr="00EE25E4" w:rsidRDefault="0090271B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والحال أنه</w:t>
            </w:r>
            <w:r w:rsidR="00EE6F7F">
              <w:rPr>
                <w:rFonts w:ascii="Arabic Typesetting" w:hAnsi="Arabic Typesetting" w:cs="Arabic Typesetting"/>
                <w:sz w:val="28"/>
                <w:szCs w:val="28"/>
                <w:rtl/>
              </w:rPr>
              <w:t>ا من كلام الأولياء الذين لا ي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فهم</w:t>
            </w:r>
            <w:r w:rsidR="00EE6F7F">
              <w:rPr>
                <w:rFonts w:ascii="Arabic Typesetting" w:hAnsi="Arabic Typesetting" w:cs="Arabic Typesetting"/>
                <w:sz w:val="28"/>
                <w:szCs w:val="28"/>
                <w:rtl/>
              </w:rPr>
              <w:t>ه إل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العالمون المحققون من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3534F8" w:rsidP="003534F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sedangkan ia merupakan perkataan para wali. Tidak dapat dipahami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kecuali oleh para alim ahli hakikat di antara/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482903" w:rsidRPr="00EE25E4" w:rsidRDefault="00EE6F7F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أ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</w:t>
            </w:r>
            <w:r w:rsidR="0090271B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 السر فلا ينبغي 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="0090271B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سلم عاقل فضلا من عالم أن يتعرض على كلامهم </w:t>
            </w:r>
            <w:r w:rsidR="0090271B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3534F8" w:rsidRDefault="003534F8" w:rsidP="00705C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ahli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sirr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(ungkapan </w:t>
            </w:r>
            <w:r w:rsidR="00D47F4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rahasia). Maka, tidak mesti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bagi seorang Muslim berakal terutama seorang alim berpaling dari perkataan mereka/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482903" w:rsidRPr="00EE25E4" w:rsidRDefault="0090271B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الذي لم يعلم معناه ومراده قال عليه الصلاة والسلام الناس أعداء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3534F8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yang </w:t>
            </w:r>
            <w:r w:rsidR="00D47F4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ia tidak memahami makna dan maksudnya. Nabi Saw. bersabda, “Manusia adalah musuh/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482903" w:rsidRPr="00EE25E4" w:rsidRDefault="0090271B" w:rsidP="00581BAB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ما جهلوا ثم الح</w:t>
            </w:r>
            <w:r w:rsidR="00EE6F7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ذر من الإعتراض لكلام الأولياء </w:t>
            </w:r>
            <w:r w:rsidR="00581BA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لحومهم مسمومة 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خي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D47F40" w:rsidP="00D47F4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kebodohannya.” Kemudian </w:t>
            </w:r>
            <w:r w:rsidR="00581BA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memberi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peringatan </w:t>
            </w:r>
            <w:r w:rsidR="005C3FB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dengan menolak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perkataan para wali itu </w:t>
            </w:r>
            <w:r w:rsidR="00581BA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bahwa daging mereka beracun untuk menakut-nakuti/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482903" w:rsidRPr="00EE25E4" w:rsidRDefault="0090271B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على من أكلها بالغيبة والتعي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ير</w:t>
            </w:r>
            <w:r w:rsidR="00EE6F7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وال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ان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كار قال تعالى أيحب أحدكم ان يأكل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581BAB" w:rsidP="00DC645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pada orang yang memakannya dengan jalan ghibah, </w:t>
            </w:r>
            <w:r w:rsidR="005C3FB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mengejek dan mengingkari. Allah Ta’ala berfirman, “Apakah </w:t>
            </w:r>
            <w:r w:rsidR="00DC645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 di antara kamu yang suka memakan/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482903" w:rsidRPr="00EE25E4" w:rsidRDefault="0090271B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لحم أخيه ميتا فكرهتموه هات والله أعلم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DC6451" w:rsidRDefault="00DC6451" w:rsidP="00365A6B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daging saudaranya yang sudah mati? Tentu kamu merasa jijik.” (Q</w:t>
            </w:r>
            <w:r w:rsidR="00365A6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.S. al-Hujurat/49: 12). Demkianlah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</w:t>
            </w:r>
            <w:r w:rsidR="00A145DA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Wallāh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u a’lam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482903" w:rsidRPr="00EE25E4" w:rsidRDefault="0090271B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 والحال </w:t>
            </w:r>
            <w:r w:rsidR="0048151D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هو بنفسه قال لما أخبر بذلك أنكره وقال إذا سمعتم من </w:t>
            </w:r>
            <w:r w:rsidR="0048151D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792EC7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ucapan, “keadaan itu 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hanya terjadi pada dirinya sendiri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…dst,” </w:t>
            </w:r>
            <w:r w:rsidR="00C82E1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ia </w:t>
            </w:r>
            <w:r w:rsidR="00365A6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(mufti) </w:t>
            </w:r>
            <w:r w:rsidR="00C82E1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mengatakan, “</w:t>
            </w:r>
            <w:r w:rsidR="00365A6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ketika dikabarkan hal itu, ia mengingkarinya.” Ia juga mengatakan, “Apabila engkau mendengar/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482903" w:rsidRPr="00EE25E4" w:rsidRDefault="0048151D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هذا اللفظ أو لفظا غيره يخالف ظاهر الشرع الشريف فامضوا على الحكم الشرعي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365A6B" w:rsidP="00961BA2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lafaz (</w:t>
            </w:r>
            <w:r w:rsidR="00AE3C5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shaṭahāt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</w:t>
            </w:r>
            <w:r w:rsidRPr="00365A6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ini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atau lafadz lainnya </w:t>
            </w:r>
            <w:r w:rsidR="00961BA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menyalahi makna zahir syariat yang mulia, maka bawalah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pada</w:t>
            </w:r>
            <w:r w:rsidR="00961BA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hukum syariat.”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482903" w:rsidRPr="00EE25E4" w:rsidRDefault="0048151D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فيقال ما تقدم من السؤال بمراد الإنكار كما يقال هناك يقال هنا فارجع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1C2CF2" w:rsidRDefault="00961BA2" w:rsidP="0000609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Maka dikatakan, </w:t>
            </w:r>
            <w:r w:rsidR="002F50A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“</w:t>
            </w:r>
            <w:r w:rsidR="0000609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adakah yang</w:t>
            </w:r>
            <w:r w:rsidR="002F50A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menyampaikan pertanyaan dengan mak</w:t>
            </w:r>
            <w:r w:rsidR="0000609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sud mengingkarinya?</w:t>
            </w:r>
            <w:r w:rsidR="002F50A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” Sebagaimana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dikatakan, “Ke sini! Pulanglah,</w:t>
            </w:r>
            <w:r w:rsidR="00E077C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482903" w:rsidRPr="00EE25E4" w:rsidRDefault="00020F90" w:rsidP="00482903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إن أردت وقوله فامضوا على الحكم الشرعي . قال في المختار مض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ى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الشيئ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E077CD" w:rsidRDefault="00E077CD" w:rsidP="00705CEE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jika engkau mau!” Adapun perkataan, “</w:t>
            </w:r>
            <w:r w:rsidR="00C175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Maka, bawalah </w:t>
            </w:r>
            <w:r w:rsidR="009A288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hukum syariat.” Telah berkata dalam kitab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al-Mukhtar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maḍā</w:t>
            </w:r>
            <w:r w:rsidR="00B064F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al-shay’ </w:t>
            </w:r>
            <w:r w:rsidR="00B064F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(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telah </w:t>
            </w:r>
            <w:r w:rsidR="00B064F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pergi sesuatu)/</w:t>
            </w:r>
          </w:p>
        </w:tc>
      </w:tr>
      <w:tr w:rsidR="00482903" w:rsidRPr="00D51FC2" w:rsidTr="00F463D6">
        <w:trPr>
          <w:trHeight w:val="64"/>
        </w:trPr>
        <w:tc>
          <w:tcPr>
            <w:tcW w:w="590" w:type="dxa"/>
            <w:vMerge/>
          </w:tcPr>
          <w:p w:rsidR="00482903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482903" w:rsidRPr="00F11D4A" w:rsidRDefault="00482903" w:rsidP="004829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482903" w:rsidRPr="00EE25E4" w:rsidRDefault="00AC2561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يمضي بالكسر مضيا ذهب ومضى في الأم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ر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مضى مضاء </w:t>
            </w:r>
            <w:r w:rsidR="00EE6F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نقذ</w:t>
            </w:r>
            <w:r w:rsidR="00196C7E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. ومضيت على الأمر </w:t>
            </w:r>
            <w:r w:rsidR="00196C7E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82903" w:rsidRPr="00B064F8" w:rsidRDefault="00B064F8" w:rsidP="00B20941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ya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mḍī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(dengan kasrah), 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muḍ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iyyan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berarti pergi. 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Maḍā fī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al-amr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(membawa dalam suatu urusan)</w:t>
            </w:r>
            <w:r w:rsidR="008A2A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yamḍī, muḍ</w:t>
            </w:r>
            <w:r w:rsidR="008A2A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iyyan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8A2A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berarti membawa. Saya </w:t>
            </w:r>
            <w:r w:rsidR="00B2094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membawa pada</w:t>
            </w:r>
            <w:r w:rsidR="008A2A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suatu perkara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</w:t>
            </w:r>
            <w:r w:rsidR="00C14CE0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aytu ‘ala al-amr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</w:t>
            </w:r>
            <w:r w:rsidR="008A2A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EE6F7F" w:rsidRPr="00EE25E4" w:rsidRDefault="00EE6F7F" w:rsidP="00346DD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مضيا ومضوت أيضا مضوا بفتح الميم و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ض</w:t>
            </w:r>
            <w:r w:rsidR="00346DD8">
              <w:rPr>
                <w:rFonts w:ascii="Arabic Typesetting" w:hAnsi="Arabic Typesetting" w:cs="Arabic Typesetting"/>
                <w:sz w:val="28"/>
                <w:szCs w:val="28"/>
                <w:rtl/>
              </w:rPr>
              <w:t>مها وهذا أمر ممضو عليه وأمض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ى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الأمر أنقذه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انتهى</w:t>
            </w:r>
            <w:r w:rsidR="00346DD8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0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C14CE0" w:rsidRDefault="00705CEE" w:rsidP="00A63DE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muḍ</w:t>
            </w:r>
            <w:r w:rsidR="008A2A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iyyan, </w:t>
            </w:r>
            <w:r w:rsidR="00EB149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dan 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saya membawa juga 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maḍawtu ayḍ</w:t>
            </w:r>
            <w:r w:rsidR="00C14CE0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an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),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</w:t>
            </w:r>
            <w:r w:rsidR="00C14CE0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aw 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atau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muḍū</w:t>
            </w:r>
            <w:r w:rsidR="00B20941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, </w:t>
            </w:r>
            <w:r w:rsidR="00B20941" w:rsidRPr="00B2094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bawalah</w:t>
            </w:r>
            <w:r w:rsidR="00B2094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!</w:t>
            </w:r>
            <w:r w:rsidR="00C14CE0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(dengan fathah huruf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mī</w:t>
            </w:r>
            <w:r w:rsidR="00C14CE0" w:rsidRP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dan </w:t>
            </w:r>
            <w:r w:rsidRP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ḍ</w:t>
            </w:r>
            <w:r w:rsidR="00C14CE0" w:rsidRP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ammah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-nya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). </w:t>
            </w:r>
            <w:r w:rsidR="00A26A5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Inilah p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erkara </w:t>
            </w:r>
            <w:r w:rsidR="00A26A5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</w:t>
            </w:r>
            <w:r w:rsidR="00C14CE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dibawa padanya. 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Urusan itu pergi</w:t>
            </w:r>
            <w:r w:rsidR="00A26A5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ia membawanya. Selesai./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فأمره بالمضي في كلام الشيخ عبد القادر الجيلاني لو سلم أنه منه معناه الذهاب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A26A5C" w:rsidP="00642F8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Maka, perintah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nya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D056D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dengan kat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 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muḍ</w:t>
            </w:r>
            <w:r w:rsidR="00D056D0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iy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dalam ucapan Syekh </w:t>
            </w:r>
            <w:r w:rsidR="00D5056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‘Abd al-Qādir </w:t>
            </w:r>
            <w:r w:rsidR="00F2023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al-Jaylānī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 </w:t>
            </w:r>
            <w:r w:rsidR="00705CE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sekalipun benar (kalimatnya)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bahwa maknanya pergi, 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EE6F7F" w:rsidRPr="00EE25E4" w:rsidRDefault="00EE6F7F" w:rsidP="00A63DE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وهذا غير مناسب </w:t>
            </w:r>
            <w:r w:rsidR="00A26A5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اذا كان 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(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على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)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كلامه</w:t>
            </w:r>
            <w:r w:rsidR="00346DD8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1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معنى </w:t>
            </w:r>
            <w:r w:rsidR="00A63DE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لى وعليه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642F80" w:rsidRDefault="00642F80" w:rsidP="00642F8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tetapi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ini tidak sesuai, kecuali apabila kata (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‘alā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dalam ucapannya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itu </w:t>
            </w:r>
            <w:r w:rsidR="00A63DE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bermakna </w:t>
            </w:r>
            <w:r w:rsidR="00705CEE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ilā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 Mestilah atasnya/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EE6F7F" w:rsidRPr="00EE25E4" w:rsidRDefault="00EE6F7F" w:rsidP="00346DD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فمعنى كلامه هكذا اذا سمعتم منى ما يخالف ظاهر الشرع فاذهبوا إلى الحكم الشرعي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642F80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makna perkataannya itu begini, “Apabila engkau </w:t>
            </w:r>
            <w:r w:rsidR="00C175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mendengar dariku sesuatu yang menyalahi zahir syariat, maka pergilah ke </w:t>
            </w:r>
            <w:r w:rsidR="00D056D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(</w:t>
            </w:r>
            <w:r w:rsidR="002428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ilā</w:t>
            </w:r>
            <w:r w:rsidR="00D056D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</w:t>
            </w:r>
            <w:r w:rsidR="00C17582" w:rsidRPr="00D056D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hukum</w:t>
            </w:r>
            <w:r w:rsidR="00C175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syariat,/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ف</w:t>
            </w:r>
            <w:r w:rsidR="00346DD8">
              <w:rPr>
                <w:rFonts w:ascii="Arabic Typesetting" w:hAnsi="Arabic Typesetting" w:cs="Arabic Typesetting"/>
                <w:sz w:val="28"/>
                <w:szCs w:val="28"/>
                <w:rtl/>
              </w:rPr>
              <w:t>ان كان موافقا فذاك وان لم يوافق</w:t>
            </w:r>
            <w:r w:rsidR="00346DD8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2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فيه ظاهرا وباطنا فاعرضوا عنه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C17582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jika ia sesuai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maka itulah (maknanya), jika tidak sesuai padanya makna zahir dan bati</w:t>
            </w:r>
            <w:r w:rsidR="00D056D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nnya, maka berpalinglah darinya,/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ولا تسمعوا وقد مر أن العبارات المسؤل عنها</w:t>
            </w:r>
            <w:r w:rsidR="00346DD8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3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ليست مما يخالف الحكم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D056D0" w:rsidP="00D056D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dan janganlah engkau mendengarnya.” Sudah berlalu (penjelasannya) bahwa ungkapan-ungkapan yang ditanyakan itu darinya bukan sesuatu yang menyalahi hukum/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الشرعي من حيث المعنى المراد المجازي لا من حيث المعنى الحقيقي هذا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D056D0" w:rsidP="00C9789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syariat dari segi makna yang dimaksud secara </w:t>
            </w:r>
            <w:r w:rsidR="009C4F6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majāz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i, bukan dari segi makna hakiki</w:t>
            </w:r>
            <w:r w:rsidR="00C9789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ini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EE6F7F" w:rsidRPr="00EE25E4" w:rsidRDefault="00EE6F7F" w:rsidP="00346DD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وأما اذا كان المضى بمعنى نفذا وأنفذ فمع</w:t>
            </w:r>
            <w:r w:rsidR="00C9789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ى كلامه إن صح أنه منه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C97895" w:rsidRDefault="00D056D0" w:rsidP="002428C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apabila </w:t>
            </w:r>
            <w:r w:rsidR="00235D4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kata </w:t>
            </w:r>
            <w:r w:rsidR="002428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maḍā</w:t>
            </w:r>
            <w:r w:rsidR="00235D43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 w:rsidR="00235D4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bermakna membawa (</w:t>
            </w:r>
            <w:r w:rsidR="00235D43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nafadha</w:t>
            </w:r>
            <w:r w:rsidR="00C9789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 w:rsidR="00C9789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dan </w:t>
            </w:r>
            <w:r w:rsidR="00C9789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anfazha</w:t>
            </w:r>
            <w:r w:rsidR="00C9789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), maka makna perkataannya</w:t>
            </w:r>
            <w:r w:rsidR="0012458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 w:rsidR="00C9789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jika </w:t>
            </w:r>
            <w:r w:rsidR="0012458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benar bahwa maknanya itu,/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503E36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24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كما مر أنه اذا سمعتم مني ما يخالف 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</w:t>
            </w:r>
            <w:r w:rsidR="00346DD8">
              <w:rPr>
                <w:rFonts w:ascii="Arabic Typesetting" w:hAnsi="Arabic Typesetting" w:cs="Arabic Typesetting"/>
                <w:sz w:val="28"/>
                <w:szCs w:val="28"/>
                <w:rtl/>
              </w:rPr>
              <w:t>حكم الشرعي أنفذوا عل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بالحكم الشرعي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124586" w:rsidP="00124586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sebagaimana sudah berlalu (penjelasannya), “bahwa apabila engkau mendengar dariku sesuatu yang menyalahi hukum syariat, bawalah padaku dengan hukum syariat/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غيره من هوى النفس حقا أو ضلالا والحكم المعتبر شرعا ما اتفق بين الظاهر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3E202F" w:rsidRDefault="00124586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bukan </w:t>
            </w:r>
            <w:r w:rsidR="000E767E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dengan selainnya berupa hawa nafsu, baik benar ataupun sesat. </w:t>
            </w:r>
            <w:r w:rsidR="003E202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Hukum </w:t>
            </w:r>
            <w:r w:rsidR="003E202F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mu’tabar</w:t>
            </w:r>
            <w:r w:rsidR="003E202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(standar) secara syariat itu adalah sesuatu yang sesuai antara zahir/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والباطن ولذلك انعقد الإجماع على كفر المنافقين من حيث ان قولهم الظاهر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3E202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dan batin. Karena itu, </w:t>
            </w:r>
            <w:r w:rsidR="00232DF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ijmak (ulama) meyakini kekufuran orang-orang munafik dari segi bahwa ucapan zahirnya/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27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يخالف باطنهم قوله وأما قول المؤمن الخ لايعقل ولايستفاد منه . لأنه لم يبين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232DF6" w:rsidP="00E60970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menyalahi batinnya. </w:t>
            </w:r>
            <w:r w:rsidR="00D9394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3)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ucapan, “</w:t>
            </w:r>
            <w:r w:rsidR="00E609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dapun perkataan seorang Mukmin…</w:t>
            </w:r>
            <w:r w:rsidR="00E6097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perkataan bodoh…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dst,” </w:t>
            </w:r>
            <w:r w:rsidR="003006B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adalah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tidak </w:t>
            </w:r>
            <w:r w:rsidR="00961A3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masuk akal dan tidak mengandung faidah, karena ia tidak menjelaskan/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28</w:t>
            </w:r>
          </w:p>
        </w:tc>
        <w:tc>
          <w:tcPr>
            <w:tcW w:w="2909" w:type="dxa"/>
          </w:tcPr>
          <w:p w:rsidR="00EE6F7F" w:rsidRPr="00EE25E4" w:rsidRDefault="00EE6F7F" w:rsidP="00346DD8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علة الحكم بفظاعة الألفاظ والحكم المجرد </w:t>
            </w:r>
            <w:r w:rsidR="00346DD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علته لايصح . وقد قالوا الحكم يدور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3006B6" w:rsidRDefault="00961A3B" w:rsidP="002428C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sebab 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‘illat</w:t>
            </w:r>
            <w:r w:rsidR="003006B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hukum dengan lafadz kasar 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itu. H</w:t>
            </w:r>
            <w:r w:rsidR="003006B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ukum yang tidak ada </w:t>
            </w:r>
            <w:r w:rsidR="003006B6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‘illat-</w:t>
            </w:r>
            <w:r w:rsidR="003006B6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nya adalah tidak sah (valid). </w:t>
            </w:r>
            <w:r w:rsidR="00E5525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Mereka mengatakan, hukum beredar/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29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مع علته وجودا وعدما فأين العلة أفيدونا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E55252" w:rsidRDefault="00E55252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bersama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‘illat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-nya, ada dan tidak ada 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‘illat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-nya itu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. Maka, di mana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‘illat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berguna bagi saya itu?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30</w:t>
            </w:r>
          </w:p>
        </w:tc>
        <w:tc>
          <w:tcPr>
            <w:tcW w:w="2909" w:type="dxa"/>
          </w:tcPr>
          <w:p w:rsidR="00EE6F7F" w:rsidRPr="00EE25E4" w:rsidRDefault="00EE6F7F" w:rsidP="00467529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</w:t>
            </w:r>
            <w:r w:rsidR="00467529">
              <w:rPr>
                <w:rFonts w:ascii="Arabic Typesetting" w:hAnsi="Arabic Typesetting" w:cs="Arabic Typesetting"/>
                <w:sz w:val="28"/>
                <w:szCs w:val="28"/>
                <w:rtl/>
              </w:rPr>
              <w:t>ثم ان أراد الإستغاثة إلى قوله ف</w:t>
            </w:r>
            <w:r w:rsidR="0046752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كفر </w:t>
            </w:r>
            <w:r w:rsidR="0046752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ذلك</w:t>
            </w:r>
            <w:r w:rsidR="00467529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4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. أقول ما المراد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7170AD" w:rsidP="0046752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ucapan, “</w:t>
            </w:r>
            <w:r w:rsidR="00EE21A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kemudian jika ia </w:t>
            </w:r>
            <w:r w:rsidR="0046752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menginginkan pertolongan…” sampai ucapannya, “maka ia </w:t>
            </w:r>
            <w:r w:rsidR="00467529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menjadi kufur karena hal itu.” Saya bertanya, apa maksud/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31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بعدم الكفر هل هو حرام أم مكروه أم جائز أم سنة لأن عدم الكفر صادق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D3592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tidak kufur itu? Apakah ia haram? makruh? boleh? atau sunnah? Karena, tidak kufur itu adalah benar/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32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بذلك . وعليه فكلامه غير ظاهر فلا يعتمد عليه على ان احتمال الكلام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D3592" w:rsidP="002428C5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dengan semua itu. 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U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capannya itu tidak jelas, sehingga tidak </w:t>
            </w:r>
            <w:r w:rsidR="008B247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meyakinkan, karena berbagai kemungkinan dalam perkataan itu./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33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يجوز الإستدلال به والقاعدة الدليل حتى طرقه الإحتمال سقط به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B2478" w:rsidP="008B247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Tidak boleh menjadikan argumen (</w:t>
            </w:r>
            <w:r w:rsidR="002428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istidlā</w:t>
            </w:r>
            <w:r w:rsidRPr="008B247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l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 dengannya. Menurut kaidah, “sebuah dalil sepanjang didapatkan berbagai kemungkinan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makna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maka gugurlah/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34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الإستدلال أفيدونا يا سيدي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8B2478" w:rsidRDefault="008B2478" w:rsidP="008B247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ber-</w:t>
            </w:r>
            <w:r w:rsidR="002428C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istidlā</w:t>
            </w:r>
            <w:r w:rsidRPr="008B247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l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dengannya.</w:t>
            </w:r>
            <w:r w:rsidR="004738F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” Berilah kami faidah, wahai Tuanku?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وأما كتب ابن تيمية إلى قوله لمن عنده علم مسلم مقبول . وقوله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D93945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4) </w:t>
            </w:r>
            <w:r w:rsidR="004738F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ucapan, “</w:t>
            </w:r>
            <w:r w:rsidR="00E0160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Dan adapun kitab-kitab Ibn Taymiyyah…” sampai ucapannya, “bagi orang yang memiliki ilmu</w:t>
            </w:r>
            <w:r w:rsidR="0002722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” adalah dapat diterima. Adapun ucapannya,/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لمن عنده علم قيد لجواز ال</w:t>
            </w:r>
            <w:r w:rsidR="00534FEC">
              <w:rPr>
                <w:rFonts w:ascii="Arabic Typesetting" w:hAnsi="Arabic Typesetting" w:cs="Arabic Typesetting"/>
                <w:sz w:val="28"/>
                <w:szCs w:val="28"/>
                <w:rtl/>
              </w:rPr>
              <w:t>نظر خرج به من لم يكن عنده علم ف</w:t>
            </w:r>
            <w:r w:rsidR="008558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ق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ير العالم لم يجز عليه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02722A" w:rsidP="00FA1AA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“bagi orang yang memiliki ilmu</w:t>
            </w:r>
            <w:r w:rsidR="00B57A8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” adalah </w:t>
            </w:r>
            <w:r w:rsidR="00206C0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pembatasan bagi</w:t>
            </w:r>
            <w:r w:rsidR="00FA1AA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bolehnya melakukan kajian. Sedangkan orang yang tidak memiliki ilmu maka ia keluar (dari batasan itu). Maka, </w:t>
            </w:r>
            <w:r w:rsidR="002F513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orang alim </w:t>
            </w:r>
            <w:r w:rsidR="008558C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fakir tidak boleh/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37</w:t>
            </w:r>
          </w:p>
        </w:tc>
        <w:tc>
          <w:tcPr>
            <w:tcW w:w="2909" w:type="dxa"/>
          </w:tcPr>
          <w:p w:rsidR="00EE6F7F" w:rsidRPr="00EE25E4" w:rsidRDefault="00EE6F7F" w:rsidP="00534FE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النظر إلى تلك الكتب المسؤل عنها . والإنسان </w:t>
            </w:r>
            <w:r w:rsidR="00534FE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خبير ب</w:t>
            </w:r>
            <w:r w:rsidR="00534FE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</w:t>
            </w:r>
            <w:r w:rsidR="00534FE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له من العلم وعدمه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558C2" w:rsidP="00206C0B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melakukan kajian pada kitab-kitab yang ditanyakan itu. </w:t>
            </w:r>
            <w:r w:rsidR="00206C0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Padahal m</w:t>
            </w:r>
            <w:r w:rsidR="00C2319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anusia pasti mengetahui apakah ia memiliki ilmu atau tidak./</w:t>
            </w:r>
          </w:p>
        </w:tc>
      </w:tr>
      <w:tr w:rsidR="00EE6F7F" w:rsidRPr="00D51FC2" w:rsidTr="002E0CAF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38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وفي المثل السائر صاحب الدار أدرى بما فيها . أما الإنتفاع بها ففيه نظر ظاهر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2F7A8E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Contohnya, semua pemilik rumah akan lebih tahu pada isi rumahnya. Adapun </w:t>
            </w:r>
            <w:r w:rsidR="009C64A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masalah manfaat dalam (kitab-kitab itu), padanya terdapat banyak pandangan yang jelas./</w:t>
            </w:r>
          </w:p>
        </w:tc>
      </w:tr>
      <w:tr w:rsidR="00EE6F7F" w:rsidRPr="00D51FC2" w:rsidTr="002E0CAF">
        <w:trPr>
          <w:trHeight w:val="642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39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فإن كان جواز الإنتفاع فيما لم يخالف فيه أهل السنة والجماعة فالأمر كذلك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9C64AB" w:rsidRDefault="009C64AB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Jika bolehnya mengambil manfaat pada sesuatu yang tidak menyalahi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maka perintahnya memang seperti itu.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/4r/</w:t>
            </w: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1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val="en-US" w:bidi="ar-OM"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OM"/>
              </w:rPr>
              <w:t xml:space="preserve">٦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9C64AB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6/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وإن كان على الإطلاق سواء كان المنتفع به مخالف</w:t>
            </w:r>
            <w:r w:rsidR="00534FE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لما عليه أهل السنة والجماعة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6C1D5B" w:rsidRDefault="00DD59CA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Jika </w:t>
            </w:r>
            <w:r w:rsidR="006C1D5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secara mutlak bermanfaat atau tidaknya adalah sama saja menyalahi </w:t>
            </w:r>
            <w:r w:rsidR="006C1D5B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 w:rsidR="006C1D5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2909" w:type="dxa"/>
          </w:tcPr>
          <w:p w:rsidR="00EE6F7F" w:rsidRPr="00EE25E4" w:rsidRDefault="00534FEC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أم 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 فما</w:t>
            </w:r>
            <w:r w:rsidR="00EE6F7F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أنا بتابع في ذلك ؟ </w:t>
            </w:r>
            <w:r w:rsidR="00EE6F7F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6C1D5B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maka, saya tidak akan mengikuti hal itu?/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797890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4</w:t>
            </w:r>
          </w:p>
        </w:tc>
        <w:tc>
          <w:tcPr>
            <w:tcW w:w="2909" w:type="dxa"/>
          </w:tcPr>
          <w:p w:rsidR="00EE6F7F" w:rsidRPr="00EE25E4" w:rsidRDefault="00EE6F7F" w:rsidP="008B4A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وقد يوجد فيها ما يخالف نصوص </w:t>
            </w:r>
            <w:r w:rsidR="008B4A7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ظ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اهر كلام علم</w:t>
            </w:r>
            <w:r w:rsidR="00534FEC">
              <w:rPr>
                <w:rFonts w:ascii="Arabic Typesetting" w:hAnsi="Arabic Typesetting" w:cs="Arabic Typesetting"/>
                <w:sz w:val="28"/>
                <w:szCs w:val="28"/>
                <w:rtl/>
              </w:rPr>
              <w:t>ا</w:t>
            </w:r>
            <w:r w:rsidR="00534FE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ء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مذهب أهل السنة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8B4A7F" w:rsidRDefault="006C1D5B" w:rsidP="00EE6F7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ucapan, “</w:t>
            </w:r>
            <w:r w:rsidR="008B4A7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kadang didapati padanya sesuatu yang menyalahi teks-teks zahir perkataan para ulama mazhab </w:t>
            </w:r>
            <w:r w:rsidR="008B4A7F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والجماعة الخ فيه إقرار بوجود ما يخالف كلام أهل السنة والجماعة في تلك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033D92" w:rsidRDefault="008B4A7F" w:rsidP="0034414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…</w:t>
            </w:r>
            <w:r w:rsidR="00033D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dst, </w:t>
            </w:r>
            <w:r w:rsidR="0034414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padanya ada</w:t>
            </w:r>
            <w:r w:rsidR="00D6523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keputusan</w:t>
            </w:r>
            <w:r w:rsidR="00033D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34414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karena</w:t>
            </w:r>
            <w:r w:rsidR="00033D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adanya sesuatu yang menyalahi perkataan </w:t>
            </w:r>
            <w:r w:rsidR="00033D92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 w:rsidR="00033D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dalam/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الكتب . وهذا تأييد لما قلنا من التفصيل المذكور قريبا . ومن حيث أن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033D92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kitab-kitab itu. Ini merupakan penegasan atas apa yang saya katakan dalam rincian yang disebutkan barusan. Dari segi bahwa/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909" w:type="dxa"/>
          </w:tcPr>
          <w:p w:rsidR="00EE6F7F" w:rsidRPr="00EE25E4" w:rsidRDefault="00534FEC" w:rsidP="00534FEC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المفتي ما بين ذلك يحتاج 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سؤال</w:t>
            </w:r>
            <w:r w:rsidR="00EE6F7F"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فيقال هل يجوز الإنتفاع بما يخالف أهل </w:t>
            </w:r>
            <w:r w:rsidR="00EE6F7F"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BE4E18" w:rsidRDefault="00033D92" w:rsidP="00BE4E18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mufti 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itu di antara perkara tersebut</w:t>
            </w:r>
            <w:r w:rsidR="00BE4E1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memerlukan pertanyaan, maka 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justru </w:t>
            </w:r>
            <w:r w:rsidR="00BE4E1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perlu ditanyakan, “apakah boleh mengambil manfaat pada sesuatu yang menyalahi </w:t>
            </w:r>
            <w:r w:rsidR="00BE4E1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</w:t>
            </w:r>
            <w:r w:rsidR="00BE4E1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السنة والجماعة أم لا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BE4E18" w:rsidRDefault="00BE4E18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atau tidak?/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فذلك أما عن اجتهاد منهم أو عدم فهم المطالع فيه الجزم بأحد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DF1103" w:rsidP="005E335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perkataan, “demikian itu,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ada ijtihad di antara mereka atau ketidakpahaman penelaahnya,” </w:t>
            </w:r>
            <w:r w:rsidR="007918F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padanya </w:t>
            </w:r>
            <w:r w:rsidR="005E335D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perlu</w:t>
            </w:r>
            <w:r w:rsidR="007918F0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keputusan pada satu/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أمرين أحدهما كون ما يخالف فيه أهل السنة والجماعة ناشئا من إجتهادهم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5E335D" w:rsidRDefault="007918F0" w:rsidP="005E335D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dari dua perkara. Pertama, </w:t>
            </w:r>
            <w:r w:rsidR="005E33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keadaan sesuatu yang menyalahi </w:t>
            </w:r>
            <w:r w:rsidR="005E335D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 w:rsidR="005E33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itu berkembang dalam ijtihad/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أنفسهم والثاني كونه ناشئا من عدم فهم المطالع لها – وعلى الأول والثاني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5E335D" w:rsidP="00DD008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mereka sendiri; Kedua, </w:t>
            </w:r>
            <w:r w:rsidR="001B4D0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keadaan yang berkembang itu </w:t>
            </w:r>
            <w:r w:rsidR="00DD008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adalah tidak ada</w:t>
            </w:r>
            <w:r w:rsidR="001B4D0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pemahaman penelaahan padanya. Pada perkara pertama dan kedua/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يحتاج إلى السؤال فيقال أيجوز الإنتفاع بها أم لا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2428C5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membutuhkan</w:t>
            </w:r>
            <w:r w:rsidR="00DD008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pertanyaan. Dikatakan, apakah boleh </w:t>
            </w:r>
            <w:r w:rsidR="00365C6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mengambil manfaat padanya atau tidak?/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ويكون الخلاف فيها لفظيا فيه إثبات وإقرار بعدم الخلاف في الحقيقة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365C62" w:rsidRPr="00365C62" w:rsidRDefault="00365C62" w:rsidP="00365C62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ucapan, “adanya 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menyalahi teks-teks 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>itu secara lafadz,” maka perlu</w:t>
            </w:r>
            <w:r>
              <w:rPr>
                <w:rFonts w:asciiTheme="majorBidi" w:hAnsiTheme="majorBidi" w:cstheme="majorBidi"/>
                <w:sz w:val="21"/>
                <w:szCs w:val="21"/>
                <w:lang w:val="en-US" w:bidi="ar-OM"/>
              </w:rPr>
              <w:t xml:space="preserve"> kepastian dan penetapan tanpa perselisihan dalam hakikatnya./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وهذا لا يصح لما مر من أنه فصل من كان مخالفا لما عليه أهل السنة والجماعة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D01CC8" w:rsidRDefault="00365C62" w:rsidP="009E3A82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Hal ini tidak sah</w:t>
            </w:r>
            <w:r w:rsidR="00F07A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(valid) (seperti) yang sudah lewat, 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karena</w:t>
            </w:r>
            <w:r w:rsidR="00F07A9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ia 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sudah </w:t>
            </w:r>
            <w:r w:rsidR="00D01C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merincikan orang yang menyalahi </w:t>
            </w:r>
            <w:r w:rsidR="00D01CC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wal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 w:rsidR="009E3A82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.</w:t>
            </w:r>
            <w:r w:rsidR="00D01C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فإذا كان من الإجتهاد منهم فلا يقال ان الخلاف لفظي يمكن أن يقال أنه لفظي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9E3A82" w:rsidRDefault="002428C5" w:rsidP="009A248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pabila (yang menyalahi</w:t>
            </w:r>
            <w:r w:rsidR="009A248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itu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) </w:t>
            </w:r>
            <w:r w:rsidR="009A248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adalah </w:t>
            </w:r>
            <w:r w:rsidR="00D01C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ijtihad mereka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maka</w:t>
            </w:r>
            <w:r w:rsidR="00D01C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tidak </w:t>
            </w:r>
            <w:r w:rsidR="00B50B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boleh </w:t>
            </w:r>
            <w:r w:rsidR="00D01CC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dikatakan </w:t>
            </w:r>
            <w:r w:rsidR="00E96D3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bahwa </w:t>
            </w:r>
            <w:r w:rsidR="00483D5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perselisihan itu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adalah pada lafadznya (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lafẓī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</w:t>
            </w:r>
            <w:r w:rsidR="009A248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sehingga mu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ngkin </w:t>
            </w:r>
            <w:r w:rsidR="009A248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akan disebut sebatas</w:t>
            </w:r>
            <w:r w:rsidR="00483D5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lafẓī</w:t>
            </w:r>
            <w:r w:rsidR="00483D5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</w:t>
            </w:r>
            <w:r w:rsidR="00483D5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saja</w:t>
            </w:r>
            <w:r w:rsidR="00483D55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.</w:t>
            </w:r>
            <w:r w:rsidR="009E3A82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لو فرض ان ما اختلف فيه أهل السنة والجماعة ناشئ من عدم فهم المطالع ولكن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346A98" w:rsidRDefault="009346BF" w:rsidP="009346B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Seandainya </w:t>
            </w:r>
            <w:r w:rsidR="00346A9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ditentukan 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pula </w:t>
            </w:r>
            <w:r w:rsidR="00346A9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jika yang menyalahi </w:t>
            </w:r>
            <w:r w:rsidR="00346A98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ahl al-sunnah wa al-</w:t>
            </w:r>
            <w:r w:rsidR="00DA09B7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jamā’ah</w:t>
            </w:r>
            <w:r w:rsidR="00346A98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itu berkembang tanpa pemahaman penelaahnya. Tetapi,/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هذا بعيد جدا لأن عدم فهمه لها لا يلزم كون الخلاف لفظيا على أن فهم المطالع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4375BF" w:rsidRPr="001C2CF2" w:rsidRDefault="00346A98" w:rsidP="004375B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ini adalah argumen yang jauh sekali, karena </w:t>
            </w:r>
            <w:r w:rsidR="005D3201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ketidakpahamannya itu tidak </w:t>
            </w:r>
            <w:r w:rsidR="00CC742B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mesti menyalahi secara lafazh</w:t>
            </w:r>
            <w:r w:rsidR="006447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  <w:r w:rsidR="005C0A0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Pemahaman penelaahnya/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18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لها من ذوي العلم لا يستلزم كونه متفقا عليه لاختلاف أفهامهم هذا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5C0A0D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termasuk bagian </w:t>
            </w:r>
            <w:r w:rsidR="00AB025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kapasitas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ilmu yang tidak </w:t>
            </w:r>
            <w:r w:rsidR="008530F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mesti sepakat padanya, karena perbedaan pemahaman mereka ini./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  <w:tc>
          <w:tcPr>
            <w:tcW w:w="2909" w:type="dxa"/>
          </w:tcPr>
          <w:p w:rsidR="00EE6F7F" w:rsidRPr="00EE25E4" w:rsidRDefault="00EE6F7F" w:rsidP="00942D0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. وأما قول العلامة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اب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حجر</w:t>
            </w:r>
            <w:r w:rsidR="00942D02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5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إلى قوله فهو غير مقبول قلنا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530F3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Adapun ucapannya, “adapun pendapat 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‘Allāmah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Ibn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Ḥajar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…” sampai ucapan, “ia tidak diterima,” saya katakan/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عدم القبول من أي وجه أفيدونا ؟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530F3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“tidak diterimanya itu dari aspek yang mana, berilah kami faidah?”/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21</w:t>
            </w:r>
          </w:p>
        </w:tc>
        <w:tc>
          <w:tcPr>
            <w:tcW w:w="2909" w:type="dxa"/>
          </w:tcPr>
          <w:p w:rsidR="00EE6F7F" w:rsidRPr="00EE25E4" w:rsidRDefault="00EE6F7F" w:rsidP="00942D0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قوله</w:t>
            </w:r>
            <w:r w:rsidR="00942D02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6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لأن قوله المذكور اجتهاد منه . أقول فيه دعوى بلا دليل لأنه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366487" w:rsidP="008530F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</w:t>
            </w:r>
            <w:r w:rsidR="008530F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un ucapannya, “karena ucapan (Ibn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Ḥ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ajar al-Ḥ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aytamī</w:t>
            </w:r>
            <w:r w:rsidR="008530F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 yang disebutkan adalah ijtihad darinya.” Menurut saya, padanya terdapat klaim tanpa dalil, karena ia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(Ibn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Ḥajar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)</w:t>
            </w:r>
            <w:r w:rsidR="008530F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  <w:tc>
          <w:tcPr>
            <w:tcW w:w="2909" w:type="dxa"/>
          </w:tcPr>
          <w:p w:rsidR="00EE6F7F" w:rsidRPr="00EE25E4" w:rsidRDefault="00EE6F7F" w:rsidP="00942D0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لم يقل ذلك إلا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ن نقل من كلام الإمام المجتهد ال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تفق على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مامته وجلالته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530F3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tidak </w:t>
            </w:r>
            <w:r w:rsidR="008B072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mengatakan hal itu, kecuali berasal dari kutipan perkataan imam mujtahid </w:t>
            </w:r>
            <w:r w:rsidR="00794944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yang disepakati keimaman, keagungan/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F11D4A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  <w:tc>
          <w:tcPr>
            <w:tcW w:w="2909" w:type="dxa"/>
          </w:tcPr>
          <w:p w:rsidR="00EE6F7F" w:rsidRPr="00EE25E4" w:rsidRDefault="00EE6F7F" w:rsidP="00942D0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وبلوغه مرتبة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لاجتهاد</w:t>
            </w:r>
            <w:r w:rsidR="00942D02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7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أبي الحسن السبكي وولده التاج والشيخ الإمام العز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886555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d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an </w:t>
            </w:r>
            <w:r w:rsidR="00FA28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ketercapaian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kedudukan ijtihadnya, yaitu Abū al-Ḥasan al-Subkī dan anaknya, al-Tā</w:t>
            </w:r>
            <w:r w:rsidR="00FA28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 (</w:t>
            </w:r>
            <w:r w:rsidR="002428C5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al-Subkī), dan Syekh Imā</w:t>
            </w:r>
            <w:r w:rsidR="00FA285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 al-‘Izz/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Pr="00503E36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24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بن جماعة واهل عصرهم وغيرهم من الشافعية والمالكية والحنفية كما هو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FA285D" w:rsidP="0036648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bin 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Jamā’ah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dan ulama sezaman mereka dan selainnya dari pengikut Syafi’iyah, Malikiyah dan Hanafiyah. Sebagaimana </w:t>
            </w:r>
            <w:r w:rsidR="0036648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hal itu</w:t>
            </w:r>
            <w:r w:rsidR="004C518D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نصرح في عبارته في فتاوى الحديثية وبما ذكر علم أن ما ادعى به المفتي المعلوم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4C518D" w:rsidP="00F447DC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sudah saya jelaskan dalam ungkapannya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dalam kitab </w:t>
            </w:r>
            <w:r w:rsidR="00FB0D3B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Fatāwā al-Ḥadī</w:t>
            </w:r>
            <w:r w:rsidR="00630F4C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thiyyah</w:t>
            </w:r>
            <w:r w:rsidR="00F447DC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.</w:t>
            </w:r>
            <w:r w:rsidR="0036648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F447DC" w:rsidRPr="00F447DC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B</w:t>
            </w:r>
            <w:r w:rsidR="00366487" w:rsidRPr="00F447DC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erdasarkan ilmu yang disebutkan bahwa apa yang diklaim mufti yang sudah maklum itu</w:t>
            </w:r>
            <w:r w:rsidR="0036648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 مزلاته الناشئة من تساهله في الجواب والإفتاء . وحينئذ يتبين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366487" w:rsidP="00366487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 w:rsidRPr="00F447DC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adalah ketergelincirannya yang berasal dari terlalu mudahnya dalam menjawab dan memberi fatwa.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Kemudian, jelas/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27</w:t>
            </w:r>
          </w:p>
        </w:tc>
        <w:tc>
          <w:tcPr>
            <w:tcW w:w="2909" w:type="dxa"/>
          </w:tcPr>
          <w:p w:rsidR="00EE6F7F" w:rsidRPr="00EE25E4" w:rsidRDefault="00EE6F7F" w:rsidP="00942D02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كلام العلامة ابن حجر المذكور </w:t>
            </w:r>
            <w:r w:rsidR="00942D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نقول من أقوال العلماء المذكورين لا اجتهاد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366487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bahwa perkataan </w:t>
            </w:r>
            <w:r w:rsidR="00DA09B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‘Allāmah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Ibn </w:t>
            </w:r>
            <w:r w:rsidR="00630F4C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Ḥajar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yang disebutkan itu dikutip dari </w:t>
            </w:r>
            <w:r w:rsidR="004645F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pendapat para ulama yang sudah disebutkan itu, bukan hasil ijtihad/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28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منه كما ادعى به المفتي المذكور سابقا والفقه</w:t>
            </w:r>
            <w:r w:rsidR="004645F7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8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F80A8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((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نقل</w:t>
            </w:r>
            <w:r w:rsidR="00F80A8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))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 عقل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4645F7" w:rsidP="006249F9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darinya, sebagaimana diklaim oleh mufti yang disebutkan itu sebelumnya. Pemahaman itu </w:t>
            </w:r>
            <w:r w:rsidR="006249F9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adalah nukilan bukan hasil pikiran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29</w:t>
            </w:r>
          </w:p>
        </w:tc>
        <w:tc>
          <w:tcPr>
            <w:tcW w:w="2909" w:type="dxa"/>
          </w:tcPr>
          <w:p w:rsidR="00EE6F7F" w:rsidRPr="00EE25E4" w:rsidRDefault="00EE6F7F" w:rsidP="008668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قوله ولا يلزمنا تقليده ولا القول بقوله فيه شيئ لا يخفى على المتأمل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4645F7" w:rsidP="008668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Adapun ucapannya, “kita tidak mesti bertaklid padanya</w:t>
            </w:r>
            <w:r w:rsidR="00DF542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dan </w:t>
            </w:r>
            <w:r w:rsidR="0086687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tidak berpendapat dengan</w:t>
            </w:r>
            <w:r w:rsidR="00DF542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pendapatnya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,” </w:t>
            </w:r>
            <w:r w:rsidR="00DF542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padanya ada sesuatu yang jelas bagi orang yang memikirkan/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30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في كلامه حق التأمل ذلك لأنا نقول عدم لزوم التقليد به ولا القول بقوله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DF5420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perkataannya dengan</w:t>
            </w:r>
            <w:r w:rsidR="0086687F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sebenar-benarnya. Karena,</w:t>
            </w:r>
            <w:r w:rsidR="002462A7"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ketika kita berpendapat tidak mesti bertaklid padanya, tidak juga berpendapat dengan pendapatnya,/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31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غير مقتضي عدم جواز التقليد به والقول بقوله لو فرض ان ذاك القول يكون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2250B0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selama tidak diperluka</w:t>
            </w:r>
            <w:r w:rsidR="00A145D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n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 maka tidak boleh bertaklid dan berpendapat dengan pendapatnya. Sekiranya wajib ada pendapat itu/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32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من اجتهاده فيجوز لنا التقليد به لأنه اجتهاد منه ولا يخالفه كلام الأئمة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2250B0" w:rsidP="00AB7B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menjadi bagian dari ijtihadnya, maka boleh bagi kita bertaklid dengannya. Karena</w:t>
            </w:r>
            <w:r w:rsidR="00A145DA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,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AB7B0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pendapat itu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</w:t>
            </w:r>
            <w:r w:rsidR="00AB7B0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merupakan hasil ijtihad dari (ulama itu) dan tidak menyalahi perkataan para imam/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33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المعتبرين في أقواله</w:t>
            </w:r>
            <w:r w:rsidR="00F80A86" w:rsidRPr="00EE25E4">
              <w:rPr>
                <w:rStyle w:val="FootnoteReference"/>
                <w:rFonts w:ascii="Arabic Typesetting" w:hAnsi="Arabic Typesetting" w:cs="Arabic Typesetting"/>
                <w:sz w:val="28"/>
                <w:szCs w:val="28"/>
                <w:rtl/>
              </w:rPr>
              <w:footnoteReference w:id="29"/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فقوله هذا والله أعلم بالصواب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AB7B03" w:rsidRDefault="00AB7B03" w:rsidP="00A145DA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yang 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mu’tabar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 dalam pendapatnya. Inilah pendapatnya. </w:t>
            </w:r>
            <w:r w:rsidRPr="00AB7B03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Wall</w:t>
            </w:r>
            <w:r w:rsidR="00A145DA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ā</w:t>
            </w:r>
            <w:r w:rsidRPr="00AB7B03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hu a’lam</w:t>
            </w:r>
            <w:r w:rsidR="00A145DA"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 xml:space="preserve"> bi al-ṣawā</w:t>
            </w:r>
            <w:r>
              <w:rPr>
                <w:rFonts w:asciiTheme="majorBidi" w:hAnsiTheme="majorBidi" w:cstheme="majorBidi"/>
                <w:i/>
                <w:iCs/>
                <w:sz w:val="21"/>
                <w:szCs w:val="21"/>
                <w:lang w:bidi="ar-OM"/>
              </w:rPr>
              <w:t>b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34</w:t>
            </w:r>
          </w:p>
        </w:tc>
        <w:tc>
          <w:tcPr>
            <w:tcW w:w="2909" w:type="dxa"/>
          </w:tcPr>
          <w:p w:rsidR="00EE6F7F" w:rsidRPr="00EE25E4" w:rsidRDefault="00EE6F7F" w:rsidP="00F80A86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>كتبه بفمه وقلمه الرا</w:t>
            </w:r>
            <w:r w:rsidR="00F80A8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 غفران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AB7B03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Telah menulisnya dengan mulut dan penanya, orang yang mengharap ampunan/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35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المساوى محمد اسنوي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AB7B03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 xml:space="preserve">dari kesalahan, </w:t>
            </w:r>
            <w:r w:rsidR="00630F4C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Muḥammad</w:t>
            </w:r>
            <w:r w:rsidRPr="003A2B40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 xml:space="preserve"> Asnawi</w:t>
            </w:r>
            <w:r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36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القدس الجاوي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A145DA" w:rsidP="00AB7B03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bidi="ar-OM"/>
              </w:rPr>
              <w:t>al-Kudus al-Jāwī</w:t>
            </w:r>
            <w:r w:rsidR="00AB7B03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.</w:t>
            </w:r>
            <w:r w:rsidR="003A2B40">
              <w:rPr>
                <w:rFonts w:asciiTheme="majorBidi" w:hAnsiTheme="majorBidi" w:cstheme="majorBidi"/>
                <w:sz w:val="21"/>
                <w:szCs w:val="21"/>
                <w:lang w:bidi="ar-OM"/>
              </w:rPr>
              <w:t>/</w:t>
            </w:r>
          </w:p>
        </w:tc>
      </w:tr>
      <w:tr w:rsidR="00EE6F7F" w:rsidRPr="00D51FC2" w:rsidTr="00F463D6">
        <w:trPr>
          <w:trHeight w:val="64"/>
        </w:trPr>
        <w:tc>
          <w:tcPr>
            <w:tcW w:w="590" w:type="dxa"/>
            <w:vMerge/>
            <w:tcBorders>
              <w:top w:val="nil"/>
            </w:tcBorders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456" w:type="dxa"/>
          </w:tcPr>
          <w:p w:rsidR="00EE6F7F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val="en-US"/>
              </w:rPr>
              <w:t>37</w:t>
            </w:r>
          </w:p>
        </w:tc>
        <w:tc>
          <w:tcPr>
            <w:tcW w:w="2909" w:type="dxa"/>
          </w:tcPr>
          <w:p w:rsidR="00EE6F7F" w:rsidRPr="00EE25E4" w:rsidRDefault="00EE6F7F" w:rsidP="00EE6F7F">
            <w:pPr>
              <w:pStyle w:val="NoSpacing"/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EE25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----------- </w:t>
            </w:r>
            <w:r w:rsidRPr="00EE25E4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/</w:t>
            </w:r>
          </w:p>
        </w:tc>
        <w:tc>
          <w:tcPr>
            <w:tcW w:w="4950" w:type="dxa"/>
          </w:tcPr>
          <w:p w:rsidR="00EE6F7F" w:rsidRPr="001C2CF2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1"/>
                <w:szCs w:val="21"/>
                <w:lang w:bidi="ar-OM"/>
              </w:rPr>
            </w:pPr>
          </w:p>
        </w:tc>
      </w:tr>
      <w:tr w:rsidR="00EE6F7F" w:rsidRPr="000A545E" w:rsidTr="00F463D6">
        <w:trPr>
          <w:trHeight w:val="64"/>
        </w:trPr>
        <w:tc>
          <w:tcPr>
            <w:tcW w:w="590" w:type="dxa"/>
            <w:tcBorders>
              <w:top w:val="nil"/>
            </w:tcBorders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/4v/</w:t>
            </w:r>
          </w:p>
        </w:tc>
        <w:tc>
          <w:tcPr>
            <w:tcW w:w="456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  <w:t>1</w:t>
            </w:r>
          </w:p>
        </w:tc>
        <w:tc>
          <w:tcPr>
            <w:tcW w:w="2909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</w:rPr>
              <w:t>Kiyai Saleh diberi Surat ini /</w:t>
            </w:r>
          </w:p>
        </w:tc>
        <w:tc>
          <w:tcPr>
            <w:tcW w:w="4950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bidi="ar-OM"/>
              </w:rPr>
            </w:pPr>
          </w:p>
        </w:tc>
      </w:tr>
      <w:tr w:rsidR="00EE6F7F" w:rsidRPr="000A545E" w:rsidTr="00F463D6">
        <w:trPr>
          <w:trHeight w:val="64"/>
        </w:trPr>
        <w:tc>
          <w:tcPr>
            <w:tcW w:w="590" w:type="dxa"/>
            <w:vMerge w:val="restart"/>
            <w:tcBorders>
              <w:top w:val="nil"/>
            </w:tcBorders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  <w:t>2</w:t>
            </w:r>
          </w:p>
        </w:tc>
        <w:tc>
          <w:tcPr>
            <w:tcW w:w="2909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</w:rPr>
              <w:t>dari Kiyai Asnawi Kudus /</w:t>
            </w:r>
          </w:p>
        </w:tc>
        <w:tc>
          <w:tcPr>
            <w:tcW w:w="4950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bidi="ar-OM"/>
              </w:rPr>
            </w:pPr>
          </w:p>
        </w:tc>
      </w:tr>
      <w:tr w:rsidR="00EE6F7F" w:rsidRPr="000A545E" w:rsidTr="00F463D6">
        <w:trPr>
          <w:trHeight w:val="64"/>
        </w:trPr>
        <w:tc>
          <w:tcPr>
            <w:tcW w:w="590" w:type="dxa"/>
            <w:vMerge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  <w:t>3</w:t>
            </w:r>
          </w:p>
        </w:tc>
        <w:tc>
          <w:tcPr>
            <w:tcW w:w="2909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A545E">
              <w:rPr>
                <w:rFonts w:asciiTheme="majorBidi" w:hAnsiTheme="majorBidi" w:cstheme="majorBidi"/>
                <w:sz w:val="20"/>
                <w:szCs w:val="20"/>
              </w:rPr>
              <w:t>24-8-2016 (tanda tangan)</w:t>
            </w:r>
          </w:p>
        </w:tc>
        <w:tc>
          <w:tcPr>
            <w:tcW w:w="4950" w:type="dxa"/>
          </w:tcPr>
          <w:p w:rsidR="00EE6F7F" w:rsidRPr="000A545E" w:rsidRDefault="00EE6F7F" w:rsidP="00EE6F7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bidi="ar-OM"/>
              </w:rPr>
            </w:pPr>
          </w:p>
        </w:tc>
      </w:tr>
    </w:tbl>
    <w:p w:rsidR="00A96D63" w:rsidRDefault="00A96D63" w:rsidP="00A96D63">
      <w:pPr>
        <w:jc w:val="left"/>
      </w:pPr>
    </w:p>
    <w:p w:rsidR="000952F1" w:rsidRDefault="000952F1"/>
    <w:sectPr w:rsidR="00095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CB" w:rsidRDefault="005D44CB" w:rsidP="00A96D63">
      <w:pPr>
        <w:spacing w:after="0" w:line="240" w:lineRule="auto"/>
      </w:pPr>
      <w:r>
        <w:separator/>
      </w:r>
    </w:p>
  </w:endnote>
  <w:endnote w:type="continuationSeparator" w:id="0">
    <w:p w:rsidR="005D44CB" w:rsidRDefault="005D44CB" w:rsidP="00A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CB" w:rsidRDefault="005D44CB" w:rsidP="00F463D6">
      <w:pPr>
        <w:spacing w:after="0" w:line="240" w:lineRule="auto"/>
        <w:jc w:val="left"/>
      </w:pPr>
      <w:r>
        <w:separator/>
      </w:r>
    </w:p>
  </w:footnote>
  <w:footnote w:type="continuationSeparator" w:id="0">
    <w:p w:rsidR="005D44CB" w:rsidRDefault="005D44CB" w:rsidP="00A96D63">
      <w:pPr>
        <w:spacing w:after="0" w:line="240" w:lineRule="auto"/>
      </w:pPr>
      <w:r>
        <w:continuationSeparator/>
      </w:r>
    </w:p>
  </w:footnote>
  <w:footnote w:id="1">
    <w:p w:rsidR="009A176A" w:rsidRDefault="009A176A" w:rsidP="003722EE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ابن تيميه</w:t>
      </w:r>
    </w:p>
  </w:footnote>
  <w:footnote w:id="2">
    <w:p w:rsidR="009A176A" w:rsidRDefault="009A176A" w:rsidP="008654D6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ابن تيميه</w:t>
      </w:r>
    </w:p>
  </w:footnote>
  <w:footnote w:id="3">
    <w:p w:rsidR="009A176A" w:rsidRDefault="009A176A" w:rsidP="008654D6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لان هذه لان هذه</w:t>
      </w:r>
    </w:p>
  </w:footnote>
  <w:footnote w:id="4">
    <w:p w:rsidR="009A176A" w:rsidRDefault="009A176A" w:rsidP="00240186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منعنت</w:t>
      </w:r>
    </w:p>
  </w:footnote>
  <w:footnote w:id="5">
    <w:p w:rsidR="009A176A" w:rsidRDefault="009A176A" w:rsidP="00077330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فذلك أما</w:t>
      </w:r>
    </w:p>
  </w:footnote>
  <w:footnote w:id="6">
    <w:p w:rsidR="009A176A" w:rsidRDefault="009A176A" w:rsidP="004A7107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قول ابن حجر</w:t>
      </w:r>
    </w:p>
  </w:footnote>
  <w:footnote w:id="7">
    <w:p w:rsidR="009A176A" w:rsidRDefault="009A176A" w:rsidP="00BC0590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محض هذا ما صهر</w:t>
      </w:r>
    </w:p>
  </w:footnote>
  <w:footnote w:id="8">
    <w:p w:rsidR="009A176A" w:rsidRDefault="009A176A" w:rsidP="004B0F2A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 xml:space="preserve">أن الله </w:t>
      </w:r>
      <w:r w:rsidRPr="004B0F2A">
        <w:rPr>
          <w:rFonts w:hint="cs"/>
          <w:strike/>
          <w:rtl/>
        </w:rPr>
        <w:t>تعالى</w:t>
      </w:r>
    </w:p>
  </w:footnote>
  <w:footnote w:id="9">
    <w:p w:rsidR="009A176A" w:rsidRDefault="009A176A" w:rsidP="00E5411C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 xml:space="preserve">لا يليق </w:t>
      </w:r>
      <w:r w:rsidRPr="00E5411C">
        <w:rPr>
          <w:rFonts w:hint="cs"/>
          <w:strike/>
          <w:rtl/>
        </w:rPr>
        <w:t>بنا</w:t>
      </w:r>
    </w:p>
  </w:footnote>
  <w:footnote w:id="10">
    <w:p w:rsidR="009A176A" w:rsidRDefault="009A176A" w:rsidP="002177BE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كشمش</w:t>
      </w:r>
    </w:p>
  </w:footnote>
  <w:footnote w:id="11">
    <w:p w:rsidR="009A176A" w:rsidRDefault="009A176A" w:rsidP="00060E90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ولا رمد مسحه</w:t>
      </w:r>
    </w:p>
  </w:footnote>
  <w:footnote w:id="12">
    <w:p w:rsidR="009A176A" w:rsidRDefault="009A176A" w:rsidP="004419AC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وجعلنا</w:t>
      </w:r>
    </w:p>
  </w:footnote>
  <w:footnote w:id="13">
    <w:p w:rsidR="009A176A" w:rsidRDefault="009A176A" w:rsidP="004419AC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لكل</w:t>
      </w:r>
    </w:p>
  </w:footnote>
  <w:footnote w:id="14">
    <w:p w:rsidR="009A176A" w:rsidRDefault="009A176A" w:rsidP="00DB2FA2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السيخ</w:t>
      </w:r>
    </w:p>
  </w:footnote>
  <w:footnote w:id="15">
    <w:p w:rsidR="009A176A" w:rsidRDefault="009A176A" w:rsidP="00DB2FA2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اراد</w:t>
      </w:r>
      <w:r w:rsidRPr="00DB2FA2">
        <w:rPr>
          <w:rFonts w:hint="cs"/>
          <w:strike/>
          <w:rtl/>
        </w:rPr>
        <w:t>ة</w:t>
      </w:r>
    </w:p>
  </w:footnote>
  <w:footnote w:id="16">
    <w:p w:rsidR="009A176A" w:rsidRDefault="009A176A" w:rsidP="00493C2B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كو</w:t>
      </w:r>
      <w:r w:rsidRPr="00493C2B">
        <w:rPr>
          <w:rFonts w:hint="cs"/>
          <w:strike/>
          <w:rtl/>
        </w:rPr>
        <w:t>نه</w:t>
      </w:r>
    </w:p>
  </w:footnote>
  <w:footnote w:id="17">
    <w:p w:rsidR="009A176A" w:rsidRPr="00927E44" w:rsidRDefault="009A176A" w:rsidP="000D4BF3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 xml:space="preserve">فهو كراب </w:t>
      </w:r>
      <w:r w:rsidRPr="000D4BF3">
        <w:rPr>
          <w:rFonts w:hint="cs"/>
          <w:strike/>
          <w:rtl/>
        </w:rPr>
        <w:t>الظمآن</w:t>
      </w:r>
      <w:r>
        <w:rPr>
          <w:rFonts w:hint="cs"/>
          <w:rtl/>
        </w:rPr>
        <w:t xml:space="preserve"> يحسبه</w:t>
      </w:r>
    </w:p>
  </w:footnote>
  <w:footnote w:id="18">
    <w:p w:rsidR="009A176A" w:rsidRDefault="009A176A" w:rsidP="00D1738A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زالت تلك</w:t>
      </w:r>
    </w:p>
  </w:footnote>
  <w:footnote w:id="19">
    <w:p w:rsidR="009A176A" w:rsidRDefault="009A176A" w:rsidP="00D1738A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فاه ذا</w:t>
      </w:r>
    </w:p>
  </w:footnote>
  <w:footnote w:id="20">
    <w:p w:rsidR="009A176A" w:rsidRDefault="009A176A" w:rsidP="00346DD8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اه</w:t>
      </w:r>
    </w:p>
  </w:footnote>
  <w:footnote w:id="21">
    <w:p w:rsidR="009A176A" w:rsidRDefault="009A176A" w:rsidP="00346DD8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كلامه بمين</w:t>
      </w:r>
    </w:p>
  </w:footnote>
  <w:footnote w:id="22">
    <w:p w:rsidR="009A176A" w:rsidRDefault="009A176A" w:rsidP="00346DD8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يوافقه</w:t>
      </w:r>
    </w:p>
  </w:footnote>
  <w:footnote w:id="23">
    <w:p w:rsidR="009A176A" w:rsidRDefault="009A176A" w:rsidP="00346DD8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المسؤل عنه عنها</w:t>
      </w:r>
    </w:p>
  </w:footnote>
  <w:footnote w:id="24">
    <w:p w:rsidR="009A176A" w:rsidRDefault="009A176A" w:rsidP="00467529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فتكفر كذلك</w:t>
      </w:r>
    </w:p>
  </w:footnote>
  <w:footnote w:id="25">
    <w:p w:rsidR="009A176A" w:rsidRDefault="009A176A" w:rsidP="00942D02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ابن ا</w:t>
      </w:r>
      <w:r w:rsidRPr="00942D02">
        <w:rPr>
          <w:rFonts w:hint="cs"/>
          <w:strike/>
          <w:rtl/>
        </w:rPr>
        <w:t>لى قو</w:t>
      </w:r>
    </w:p>
  </w:footnote>
  <w:footnote w:id="26">
    <w:p w:rsidR="009A176A" w:rsidRDefault="009A176A" w:rsidP="00942D02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 xml:space="preserve">قوله </w:t>
      </w:r>
      <w:r w:rsidRPr="00942D02">
        <w:rPr>
          <w:rFonts w:hint="cs"/>
          <w:strike/>
          <w:rtl/>
        </w:rPr>
        <w:t>من</w:t>
      </w:r>
    </w:p>
  </w:footnote>
  <w:footnote w:id="27">
    <w:p w:rsidR="009A176A" w:rsidRDefault="009A176A" w:rsidP="00942D02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مرتبة ا</w:t>
      </w:r>
      <w:r w:rsidRPr="00942D02">
        <w:rPr>
          <w:rFonts w:hint="cs"/>
          <w:strike/>
          <w:rtl/>
        </w:rPr>
        <w:t>د</w:t>
      </w:r>
    </w:p>
  </w:footnote>
  <w:footnote w:id="28">
    <w:p w:rsidR="009A176A" w:rsidRDefault="009A176A" w:rsidP="004645F7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>الفقه ففل</w:t>
      </w:r>
    </w:p>
  </w:footnote>
  <w:footnote w:id="29">
    <w:p w:rsidR="009A176A" w:rsidRDefault="009A176A" w:rsidP="00F80A86">
      <w:pPr>
        <w:pStyle w:val="FootnoteText"/>
        <w:jc w:val="left"/>
        <w:rPr>
          <w:rtl/>
        </w:rPr>
      </w:pPr>
      <w:r>
        <w:rPr>
          <w:rStyle w:val="FootnoteReference"/>
        </w:rPr>
        <w:footnoteRef/>
      </w:r>
      <w:r>
        <w:t xml:space="preserve"> MS: </w:t>
      </w:r>
      <w:r>
        <w:rPr>
          <w:rFonts w:hint="cs"/>
          <w:rtl/>
        </w:rPr>
        <w:t xml:space="preserve">اقواله </w:t>
      </w:r>
      <w:r w:rsidRPr="00F80A86">
        <w:rPr>
          <w:rFonts w:hint="cs"/>
          <w:strike/>
          <w:rtl/>
        </w:rPr>
        <w:t>ونقله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0602"/>
    <w:multiLevelType w:val="hybridMultilevel"/>
    <w:tmpl w:val="36C20360"/>
    <w:lvl w:ilvl="0" w:tplc="0AF01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63"/>
    <w:rsid w:val="00000E78"/>
    <w:rsid w:val="00002900"/>
    <w:rsid w:val="00002E27"/>
    <w:rsid w:val="00004AF0"/>
    <w:rsid w:val="00004CFA"/>
    <w:rsid w:val="00006090"/>
    <w:rsid w:val="0001057A"/>
    <w:rsid w:val="00020F90"/>
    <w:rsid w:val="00024808"/>
    <w:rsid w:val="00024C42"/>
    <w:rsid w:val="0002722A"/>
    <w:rsid w:val="00033D92"/>
    <w:rsid w:val="00043CBD"/>
    <w:rsid w:val="00060E90"/>
    <w:rsid w:val="0006491D"/>
    <w:rsid w:val="00067E3D"/>
    <w:rsid w:val="0007167C"/>
    <w:rsid w:val="00076AE9"/>
    <w:rsid w:val="000771A5"/>
    <w:rsid w:val="00077330"/>
    <w:rsid w:val="00080425"/>
    <w:rsid w:val="00082176"/>
    <w:rsid w:val="000952F1"/>
    <w:rsid w:val="00097F16"/>
    <w:rsid w:val="000A0CB0"/>
    <w:rsid w:val="000A26B7"/>
    <w:rsid w:val="000A524C"/>
    <w:rsid w:val="000A545E"/>
    <w:rsid w:val="000A6BF1"/>
    <w:rsid w:val="000B73C5"/>
    <w:rsid w:val="000C07D6"/>
    <w:rsid w:val="000C38E2"/>
    <w:rsid w:val="000C7E23"/>
    <w:rsid w:val="000D4BF3"/>
    <w:rsid w:val="000D608C"/>
    <w:rsid w:val="000E32C9"/>
    <w:rsid w:val="000E767E"/>
    <w:rsid w:val="000F0B54"/>
    <w:rsid w:val="000F5FF5"/>
    <w:rsid w:val="000F723E"/>
    <w:rsid w:val="00100962"/>
    <w:rsid w:val="0011098F"/>
    <w:rsid w:val="00114F3F"/>
    <w:rsid w:val="00124586"/>
    <w:rsid w:val="00126978"/>
    <w:rsid w:val="001301CB"/>
    <w:rsid w:val="0014556A"/>
    <w:rsid w:val="0014611F"/>
    <w:rsid w:val="00147AB0"/>
    <w:rsid w:val="00153285"/>
    <w:rsid w:val="001563CA"/>
    <w:rsid w:val="00156823"/>
    <w:rsid w:val="00162D37"/>
    <w:rsid w:val="00175790"/>
    <w:rsid w:val="001951EE"/>
    <w:rsid w:val="00196C7E"/>
    <w:rsid w:val="001A1970"/>
    <w:rsid w:val="001A43F9"/>
    <w:rsid w:val="001A5670"/>
    <w:rsid w:val="001A5CA5"/>
    <w:rsid w:val="001A77A7"/>
    <w:rsid w:val="001B4D00"/>
    <w:rsid w:val="001B643B"/>
    <w:rsid w:val="001B6F08"/>
    <w:rsid w:val="001C1B19"/>
    <w:rsid w:val="001C5459"/>
    <w:rsid w:val="001C6CE7"/>
    <w:rsid w:val="001E021D"/>
    <w:rsid w:val="001E1A36"/>
    <w:rsid w:val="001F3992"/>
    <w:rsid w:val="001F7E53"/>
    <w:rsid w:val="00201B28"/>
    <w:rsid w:val="00206C0B"/>
    <w:rsid w:val="0020702F"/>
    <w:rsid w:val="002177BE"/>
    <w:rsid w:val="0022298C"/>
    <w:rsid w:val="002250B0"/>
    <w:rsid w:val="00232DF6"/>
    <w:rsid w:val="00235D43"/>
    <w:rsid w:val="00237FBE"/>
    <w:rsid w:val="00240186"/>
    <w:rsid w:val="002428C5"/>
    <w:rsid w:val="002432CA"/>
    <w:rsid w:val="002462A7"/>
    <w:rsid w:val="00250406"/>
    <w:rsid w:val="00254301"/>
    <w:rsid w:val="0026051E"/>
    <w:rsid w:val="00272BD4"/>
    <w:rsid w:val="00275834"/>
    <w:rsid w:val="00281445"/>
    <w:rsid w:val="00296D2A"/>
    <w:rsid w:val="002A1181"/>
    <w:rsid w:val="002B2E1B"/>
    <w:rsid w:val="002B4670"/>
    <w:rsid w:val="002B5CB7"/>
    <w:rsid w:val="002B675A"/>
    <w:rsid w:val="002C08BD"/>
    <w:rsid w:val="002C1215"/>
    <w:rsid w:val="002D7C2D"/>
    <w:rsid w:val="002E0CAF"/>
    <w:rsid w:val="002E167D"/>
    <w:rsid w:val="002E4EF6"/>
    <w:rsid w:val="002F03CB"/>
    <w:rsid w:val="002F09AF"/>
    <w:rsid w:val="002F472E"/>
    <w:rsid w:val="002F50A4"/>
    <w:rsid w:val="002F513A"/>
    <w:rsid w:val="002F7A8E"/>
    <w:rsid w:val="002F7B81"/>
    <w:rsid w:val="003002D8"/>
    <w:rsid w:val="003006B6"/>
    <w:rsid w:val="00307D74"/>
    <w:rsid w:val="003155CA"/>
    <w:rsid w:val="003238EE"/>
    <w:rsid w:val="00325306"/>
    <w:rsid w:val="00333DBF"/>
    <w:rsid w:val="00344147"/>
    <w:rsid w:val="00345251"/>
    <w:rsid w:val="003469B5"/>
    <w:rsid w:val="00346A98"/>
    <w:rsid w:val="00346C42"/>
    <w:rsid w:val="00346DD8"/>
    <w:rsid w:val="0035343C"/>
    <w:rsid w:val="003534F8"/>
    <w:rsid w:val="0035508F"/>
    <w:rsid w:val="00356BBE"/>
    <w:rsid w:val="00365A6B"/>
    <w:rsid w:val="00365C62"/>
    <w:rsid w:val="00366487"/>
    <w:rsid w:val="003722EE"/>
    <w:rsid w:val="003741D7"/>
    <w:rsid w:val="00374BAC"/>
    <w:rsid w:val="003813E6"/>
    <w:rsid w:val="003814E7"/>
    <w:rsid w:val="003A2B40"/>
    <w:rsid w:val="003A32BE"/>
    <w:rsid w:val="003A50DD"/>
    <w:rsid w:val="003B07A4"/>
    <w:rsid w:val="003B4283"/>
    <w:rsid w:val="003C1EF7"/>
    <w:rsid w:val="003C688D"/>
    <w:rsid w:val="003D61AC"/>
    <w:rsid w:val="003E202F"/>
    <w:rsid w:val="003E51FA"/>
    <w:rsid w:val="003F0948"/>
    <w:rsid w:val="003F36A1"/>
    <w:rsid w:val="003F59BE"/>
    <w:rsid w:val="00401997"/>
    <w:rsid w:val="00404A1D"/>
    <w:rsid w:val="00407D11"/>
    <w:rsid w:val="00412B44"/>
    <w:rsid w:val="0041690C"/>
    <w:rsid w:val="004261EA"/>
    <w:rsid w:val="004375BF"/>
    <w:rsid w:val="00440951"/>
    <w:rsid w:val="004419AC"/>
    <w:rsid w:val="004429A2"/>
    <w:rsid w:val="00445D5B"/>
    <w:rsid w:val="00452075"/>
    <w:rsid w:val="00453D3C"/>
    <w:rsid w:val="00463A8A"/>
    <w:rsid w:val="004645F7"/>
    <w:rsid w:val="0046506B"/>
    <w:rsid w:val="00467529"/>
    <w:rsid w:val="00467A92"/>
    <w:rsid w:val="0047047E"/>
    <w:rsid w:val="004738F1"/>
    <w:rsid w:val="0048151D"/>
    <w:rsid w:val="00482903"/>
    <w:rsid w:val="0048346E"/>
    <w:rsid w:val="00483D55"/>
    <w:rsid w:val="0048410E"/>
    <w:rsid w:val="00487DE8"/>
    <w:rsid w:val="00492423"/>
    <w:rsid w:val="00493C2B"/>
    <w:rsid w:val="00494494"/>
    <w:rsid w:val="004A7107"/>
    <w:rsid w:val="004A7AA5"/>
    <w:rsid w:val="004B0AD5"/>
    <w:rsid w:val="004B0F2A"/>
    <w:rsid w:val="004B5A2A"/>
    <w:rsid w:val="004B5B5A"/>
    <w:rsid w:val="004B78D8"/>
    <w:rsid w:val="004C518D"/>
    <w:rsid w:val="004E10F8"/>
    <w:rsid w:val="004E5A8D"/>
    <w:rsid w:val="00500BE1"/>
    <w:rsid w:val="005021EB"/>
    <w:rsid w:val="00503E36"/>
    <w:rsid w:val="00527C41"/>
    <w:rsid w:val="00534FEC"/>
    <w:rsid w:val="00556D0F"/>
    <w:rsid w:val="00561162"/>
    <w:rsid w:val="00561AAF"/>
    <w:rsid w:val="00571B95"/>
    <w:rsid w:val="00571BA6"/>
    <w:rsid w:val="005771D3"/>
    <w:rsid w:val="00581BAB"/>
    <w:rsid w:val="005949F4"/>
    <w:rsid w:val="005971DA"/>
    <w:rsid w:val="005B4FF7"/>
    <w:rsid w:val="005B5B55"/>
    <w:rsid w:val="005C0A0D"/>
    <w:rsid w:val="005C3FBD"/>
    <w:rsid w:val="005D3201"/>
    <w:rsid w:val="005D44CB"/>
    <w:rsid w:val="005E335D"/>
    <w:rsid w:val="005F1B7D"/>
    <w:rsid w:val="005F22C0"/>
    <w:rsid w:val="006016BE"/>
    <w:rsid w:val="00602CD6"/>
    <w:rsid w:val="00606DE5"/>
    <w:rsid w:val="00613A15"/>
    <w:rsid w:val="0061513E"/>
    <w:rsid w:val="00621EB6"/>
    <w:rsid w:val="006249F9"/>
    <w:rsid w:val="00625A16"/>
    <w:rsid w:val="00625BEE"/>
    <w:rsid w:val="00626488"/>
    <w:rsid w:val="00630F4C"/>
    <w:rsid w:val="00632040"/>
    <w:rsid w:val="00632EB0"/>
    <w:rsid w:val="00642F80"/>
    <w:rsid w:val="00643B3A"/>
    <w:rsid w:val="00643CD5"/>
    <w:rsid w:val="0064475D"/>
    <w:rsid w:val="00650303"/>
    <w:rsid w:val="00653EC0"/>
    <w:rsid w:val="00654459"/>
    <w:rsid w:val="00655F28"/>
    <w:rsid w:val="006575F3"/>
    <w:rsid w:val="00661F1F"/>
    <w:rsid w:val="00662EB6"/>
    <w:rsid w:val="00675FDF"/>
    <w:rsid w:val="006770B9"/>
    <w:rsid w:val="0068092F"/>
    <w:rsid w:val="00685F55"/>
    <w:rsid w:val="00686C46"/>
    <w:rsid w:val="00687AC0"/>
    <w:rsid w:val="006A39F5"/>
    <w:rsid w:val="006A555E"/>
    <w:rsid w:val="006A6ABE"/>
    <w:rsid w:val="006C1D5B"/>
    <w:rsid w:val="006C5C91"/>
    <w:rsid w:val="006D1589"/>
    <w:rsid w:val="006D7C4D"/>
    <w:rsid w:val="00701AC4"/>
    <w:rsid w:val="00705CEE"/>
    <w:rsid w:val="007068F1"/>
    <w:rsid w:val="00710E6F"/>
    <w:rsid w:val="007170AD"/>
    <w:rsid w:val="0073498E"/>
    <w:rsid w:val="007349C8"/>
    <w:rsid w:val="0074197C"/>
    <w:rsid w:val="00743D36"/>
    <w:rsid w:val="00744849"/>
    <w:rsid w:val="00746ECD"/>
    <w:rsid w:val="00750FAD"/>
    <w:rsid w:val="00753F10"/>
    <w:rsid w:val="00766FC9"/>
    <w:rsid w:val="00771D71"/>
    <w:rsid w:val="00773514"/>
    <w:rsid w:val="007918F0"/>
    <w:rsid w:val="00792BA6"/>
    <w:rsid w:val="00792EC7"/>
    <w:rsid w:val="00793DCE"/>
    <w:rsid w:val="00794944"/>
    <w:rsid w:val="00794953"/>
    <w:rsid w:val="00795D19"/>
    <w:rsid w:val="00797890"/>
    <w:rsid w:val="007A28F6"/>
    <w:rsid w:val="007B03D2"/>
    <w:rsid w:val="007B0F2A"/>
    <w:rsid w:val="007B1565"/>
    <w:rsid w:val="007C2FE5"/>
    <w:rsid w:val="007C571E"/>
    <w:rsid w:val="007C64EB"/>
    <w:rsid w:val="007E3CB3"/>
    <w:rsid w:val="007E4810"/>
    <w:rsid w:val="007F218A"/>
    <w:rsid w:val="007F6941"/>
    <w:rsid w:val="007F6E4C"/>
    <w:rsid w:val="0080617D"/>
    <w:rsid w:val="00811B6D"/>
    <w:rsid w:val="008330B1"/>
    <w:rsid w:val="00835021"/>
    <w:rsid w:val="0084021E"/>
    <w:rsid w:val="008463A2"/>
    <w:rsid w:val="00851F27"/>
    <w:rsid w:val="008522D3"/>
    <w:rsid w:val="008530F3"/>
    <w:rsid w:val="00853FC2"/>
    <w:rsid w:val="008558C2"/>
    <w:rsid w:val="0085663E"/>
    <w:rsid w:val="008570E9"/>
    <w:rsid w:val="00857743"/>
    <w:rsid w:val="00857A55"/>
    <w:rsid w:val="00861179"/>
    <w:rsid w:val="008654D6"/>
    <w:rsid w:val="0086687F"/>
    <w:rsid w:val="008720B1"/>
    <w:rsid w:val="008750C8"/>
    <w:rsid w:val="00886555"/>
    <w:rsid w:val="008873AE"/>
    <w:rsid w:val="00895E2C"/>
    <w:rsid w:val="008A159A"/>
    <w:rsid w:val="008A2AC5"/>
    <w:rsid w:val="008A4E9E"/>
    <w:rsid w:val="008B0724"/>
    <w:rsid w:val="008B1E38"/>
    <w:rsid w:val="008B2478"/>
    <w:rsid w:val="008B44B3"/>
    <w:rsid w:val="008B4A7F"/>
    <w:rsid w:val="008C69EE"/>
    <w:rsid w:val="008D0A45"/>
    <w:rsid w:val="008D3592"/>
    <w:rsid w:val="008E3138"/>
    <w:rsid w:val="00901758"/>
    <w:rsid w:val="0090271B"/>
    <w:rsid w:val="0090338A"/>
    <w:rsid w:val="00913E46"/>
    <w:rsid w:val="00917163"/>
    <w:rsid w:val="00920D09"/>
    <w:rsid w:val="00927E44"/>
    <w:rsid w:val="0093400A"/>
    <w:rsid w:val="009346BF"/>
    <w:rsid w:val="00934BA5"/>
    <w:rsid w:val="00942D02"/>
    <w:rsid w:val="00954373"/>
    <w:rsid w:val="00960BC9"/>
    <w:rsid w:val="00961A3B"/>
    <w:rsid w:val="00961BA2"/>
    <w:rsid w:val="00975171"/>
    <w:rsid w:val="00981590"/>
    <w:rsid w:val="0098667B"/>
    <w:rsid w:val="00987704"/>
    <w:rsid w:val="00993A0D"/>
    <w:rsid w:val="009A176A"/>
    <w:rsid w:val="009A248F"/>
    <w:rsid w:val="009A288C"/>
    <w:rsid w:val="009A4CC8"/>
    <w:rsid w:val="009A6B3D"/>
    <w:rsid w:val="009B76B4"/>
    <w:rsid w:val="009B7EE8"/>
    <w:rsid w:val="009C1A60"/>
    <w:rsid w:val="009C1BF7"/>
    <w:rsid w:val="009C4F68"/>
    <w:rsid w:val="009C64AB"/>
    <w:rsid w:val="009D7B12"/>
    <w:rsid w:val="009E3A82"/>
    <w:rsid w:val="009E6301"/>
    <w:rsid w:val="009F07CD"/>
    <w:rsid w:val="00A07647"/>
    <w:rsid w:val="00A145DA"/>
    <w:rsid w:val="00A17564"/>
    <w:rsid w:val="00A26501"/>
    <w:rsid w:val="00A26A5C"/>
    <w:rsid w:val="00A27D54"/>
    <w:rsid w:val="00A3282A"/>
    <w:rsid w:val="00A3782B"/>
    <w:rsid w:val="00A50084"/>
    <w:rsid w:val="00A51EB0"/>
    <w:rsid w:val="00A52443"/>
    <w:rsid w:val="00A61AAF"/>
    <w:rsid w:val="00A63DEF"/>
    <w:rsid w:val="00A64A07"/>
    <w:rsid w:val="00A679D7"/>
    <w:rsid w:val="00A70EAC"/>
    <w:rsid w:val="00A70FC4"/>
    <w:rsid w:val="00A75BD0"/>
    <w:rsid w:val="00A77C5D"/>
    <w:rsid w:val="00A8675F"/>
    <w:rsid w:val="00A92AC2"/>
    <w:rsid w:val="00A96D63"/>
    <w:rsid w:val="00AB025F"/>
    <w:rsid w:val="00AB6EFA"/>
    <w:rsid w:val="00AB7B03"/>
    <w:rsid w:val="00AC2561"/>
    <w:rsid w:val="00AE1DBE"/>
    <w:rsid w:val="00AE3C58"/>
    <w:rsid w:val="00AF6127"/>
    <w:rsid w:val="00AF6A59"/>
    <w:rsid w:val="00B0091C"/>
    <w:rsid w:val="00B064F8"/>
    <w:rsid w:val="00B20941"/>
    <w:rsid w:val="00B27703"/>
    <w:rsid w:val="00B45623"/>
    <w:rsid w:val="00B50B4C"/>
    <w:rsid w:val="00B51E2C"/>
    <w:rsid w:val="00B57A80"/>
    <w:rsid w:val="00B6762C"/>
    <w:rsid w:val="00B676DA"/>
    <w:rsid w:val="00B67EEC"/>
    <w:rsid w:val="00B704CE"/>
    <w:rsid w:val="00B71C21"/>
    <w:rsid w:val="00B74D8E"/>
    <w:rsid w:val="00B81BD7"/>
    <w:rsid w:val="00B90E52"/>
    <w:rsid w:val="00BA1DF5"/>
    <w:rsid w:val="00BB0C0A"/>
    <w:rsid w:val="00BB126E"/>
    <w:rsid w:val="00BB4C43"/>
    <w:rsid w:val="00BC0590"/>
    <w:rsid w:val="00BC48B2"/>
    <w:rsid w:val="00BD4242"/>
    <w:rsid w:val="00BD64E5"/>
    <w:rsid w:val="00BE2BC0"/>
    <w:rsid w:val="00BE4E18"/>
    <w:rsid w:val="00BF030E"/>
    <w:rsid w:val="00C0404D"/>
    <w:rsid w:val="00C06EBF"/>
    <w:rsid w:val="00C14CE0"/>
    <w:rsid w:val="00C17582"/>
    <w:rsid w:val="00C23197"/>
    <w:rsid w:val="00C237BB"/>
    <w:rsid w:val="00C24112"/>
    <w:rsid w:val="00C40476"/>
    <w:rsid w:val="00C4534E"/>
    <w:rsid w:val="00C51ED4"/>
    <w:rsid w:val="00C5568E"/>
    <w:rsid w:val="00C7610C"/>
    <w:rsid w:val="00C763E6"/>
    <w:rsid w:val="00C775FC"/>
    <w:rsid w:val="00C82E1F"/>
    <w:rsid w:val="00C9334A"/>
    <w:rsid w:val="00C936EE"/>
    <w:rsid w:val="00C93859"/>
    <w:rsid w:val="00C93D47"/>
    <w:rsid w:val="00C94EFF"/>
    <w:rsid w:val="00C97895"/>
    <w:rsid w:val="00CA5DB6"/>
    <w:rsid w:val="00CB68B2"/>
    <w:rsid w:val="00CC4458"/>
    <w:rsid w:val="00CC742B"/>
    <w:rsid w:val="00CC7D5D"/>
    <w:rsid w:val="00CD6294"/>
    <w:rsid w:val="00CD6E5E"/>
    <w:rsid w:val="00CF5813"/>
    <w:rsid w:val="00CF73CF"/>
    <w:rsid w:val="00D01CC8"/>
    <w:rsid w:val="00D0431A"/>
    <w:rsid w:val="00D056D0"/>
    <w:rsid w:val="00D06CA9"/>
    <w:rsid w:val="00D108BF"/>
    <w:rsid w:val="00D1738A"/>
    <w:rsid w:val="00D23E2B"/>
    <w:rsid w:val="00D43C33"/>
    <w:rsid w:val="00D47F40"/>
    <w:rsid w:val="00D50569"/>
    <w:rsid w:val="00D533F7"/>
    <w:rsid w:val="00D6523F"/>
    <w:rsid w:val="00D762DA"/>
    <w:rsid w:val="00D92E76"/>
    <w:rsid w:val="00D93945"/>
    <w:rsid w:val="00DA09B7"/>
    <w:rsid w:val="00DA6F88"/>
    <w:rsid w:val="00DB048A"/>
    <w:rsid w:val="00DB2FA2"/>
    <w:rsid w:val="00DB71CE"/>
    <w:rsid w:val="00DC2368"/>
    <w:rsid w:val="00DC4B4C"/>
    <w:rsid w:val="00DC6451"/>
    <w:rsid w:val="00DD0089"/>
    <w:rsid w:val="00DD59CA"/>
    <w:rsid w:val="00DF1103"/>
    <w:rsid w:val="00DF1853"/>
    <w:rsid w:val="00DF5420"/>
    <w:rsid w:val="00DF7F4F"/>
    <w:rsid w:val="00E01605"/>
    <w:rsid w:val="00E041E7"/>
    <w:rsid w:val="00E077CD"/>
    <w:rsid w:val="00E17343"/>
    <w:rsid w:val="00E1777C"/>
    <w:rsid w:val="00E21551"/>
    <w:rsid w:val="00E358F5"/>
    <w:rsid w:val="00E404EA"/>
    <w:rsid w:val="00E42777"/>
    <w:rsid w:val="00E428D5"/>
    <w:rsid w:val="00E5286B"/>
    <w:rsid w:val="00E5411C"/>
    <w:rsid w:val="00E55252"/>
    <w:rsid w:val="00E60970"/>
    <w:rsid w:val="00E66BA2"/>
    <w:rsid w:val="00E760F8"/>
    <w:rsid w:val="00E82F35"/>
    <w:rsid w:val="00E844C7"/>
    <w:rsid w:val="00E87FA6"/>
    <w:rsid w:val="00E96516"/>
    <w:rsid w:val="00E96D3B"/>
    <w:rsid w:val="00EA1E47"/>
    <w:rsid w:val="00EA3402"/>
    <w:rsid w:val="00EA5F1D"/>
    <w:rsid w:val="00EB149D"/>
    <w:rsid w:val="00EB15A3"/>
    <w:rsid w:val="00EB3012"/>
    <w:rsid w:val="00EB464B"/>
    <w:rsid w:val="00EB4DEC"/>
    <w:rsid w:val="00ED5BC1"/>
    <w:rsid w:val="00EE21A4"/>
    <w:rsid w:val="00EE25E4"/>
    <w:rsid w:val="00EE6F7F"/>
    <w:rsid w:val="00F005A8"/>
    <w:rsid w:val="00F01EA5"/>
    <w:rsid w:val="00F0201C"/>
    <w:rsid w:val="00F07A92"/>
    <w:rsid w:val="00F17139"/>
    <w:rsid w:val="00F172C3"/>
    <w:rsid w:val="00F2023E"/>
    <w:rsid w:val="00F30ABD"/>
    <w:rsid w:val="00F358EA"/>
    <w:rsid w:val="00F4076E"/>
    <w:rsid w:val="00F43D59"/>
    <w:rsid w:val="00F447DC"/>
    <w:rsid w:val="00F463D6"/>
    <w:rsid w:val="00F57B17"/>
    <w:rsid w:val="00F62F6B"/>
    <w:rsid w:val="00F64CD5"/>
    <w:rsid w:val="00F65113"/>
    <w:rsid w:val="00F75529"/>
    <w:rsid w:val="00F75725"/>
    <w:rsid w:val="00F769ED"/>
    <w:rsid w:val="00F80A86"/>
    <w:rsid w:val="00F83E06"/>
    <w:rsid w:val="00F83F2C"/>
    <w:rsid w:val="00F90AA8"/>
    <w:rsid w:val="00F95578"/>
    <w:rsid w:val="00F97139"/>
    <w:rsid w:val="00FA00D0"/>
    <w:rsid w:val="00FA0676"/>
    <w:rsid w:val="00FA1AAD"/>
    <w:rsid w:val="00FA285D"/>
    <w:rsid w:val="00FA4670"/>
    <w:rsid w:val="00FB0D3B"/>
    <w:rsid w:val="00FC157C"/>
    <w:rsid w:val="00FC2968"/>
    <w:rsid w:val="00FD33FF"/>
    <w:rsid w:val="00FE44B5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C86F6-2A6A-4D01-B23A-65285C7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63"/>
    <w:pPr>
      <w:spacing w:after="120" w:line="276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6D6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96D63"/>
  </w:style>
  <w:style w:type="paragraph" w:styleId="FootnoteText">
    <w:name w:val="footnote text"/>
    <w:basedOn w:val="Normal"/>
    <w:link w:val="FootnoteTextChar"/>
    <w:uiPriority w:val="99"/>
    <w:unhideWhenUsed/>
    <w:rsid w:val="00A96D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6D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96D63"/>
    <w:rPr>
      <w:vertAlign w:val="superscript"/>
    </w:rPr>
  </w:style>
  <w:style w:type="table" w:styleId="TableGrid">
    <w:name w:val="Table Grid"/>
    <w:basedOn w:val="TableNormal"/>
    <w:uiPriority w:val="59"/>
    <w:rsid w:val="00A96D6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83148C8-5A82-4C70-89AB-A3538368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9800</TotalTime>
  <Pages>14</Pages>
  <Words>6512</Words>
  <Characters>37125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2020-02-27T13:43:00Z</dcterms:created>
  <dcterms:modified xsi:type="dcterms:W3CDTF">2022-03-03T10:15:00Z</dcterms:modified>
</cp:coreProperties>
</file>